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jc w:val="center"/>
        <w:rPr>
          <w:rFonts w:ascii="宋体" w:hAnsi="宋体"/>
          <w:b/>
          <w:bCs/>
          <w:color w:val="FF0000"/>
          <w:sz w:val="56"/>
          <w:szCs w:val="56"/>
          <w14:shadow w14:blurRad="50800" w14:dist="38100" w14:dir="0" w14:sx="100000" w14:sy="100000" w14:kx="0" w14:ky="0" w14:algn="l">
            <w14:srgbClr w14:val="000000">
              <w14:alpha w14:val="60000"/>
            </w14:srgbClr>
          </w14:shadow>
        </w:rPr>
      </w:pPr>
      <w:r>
        <w:rPr>
          <w:rFonts w:hint="eastAsia" w:ascii="宋体" w:hAnsi="宋体"/>
          <w:b/>
          <w:bCs/>
          <w:color w:val="FF0000"/>
          <w:sz w:val="56"/>
          <w:szCs w:val="56"/>
          <w14:shadow w14:blurRad="50800" w14:dist="38100" w14:dir="0" w14:sx="100000" w14:sy="100000" w14:kx="0" w14:ky="0" w14:algn="l">
            <w14:srgbClr w14:val="000000">
              <w14:alpha w14:val="60000"/>
            </w14:srgbClr>
          </w14:shadow>
        </w:rPr>
        <w:t>2023年广州国际灯光节</w:t>
      </w:r>
    </w:p>
    <w:p>
      <w:pPr>
        <w:spacing w:line="360" w:lineRule="auto"/>
        <w:jc w:val="center"/>
        <w:rPr>
          <w:rFonts w:hint="eastAsia" w:ascii="宋体" w:hAnsi="宋体"/>
          <w:b/>
          <w:bCs/>
          <w:color w:val="FF0000"/>
          <w:sz w:val="56"/>
          <w:szCs w:val="56"/>
          <w:lang w:val="en-US" w:eastAsia="zh-CN"/>
          <w14:shadow w14:blurRad="50800" w14:dist="38100" w14:dir="0" w14:sx="100000" w14:sy="100000" w14:kx="0" w14:ky="0" w14:algn="l">
            <w14:srgbClr w14:val="000000">
              <w14:alpha w14:val="60000"/>
            </w14:srgbClr>
          </w14:shadow>
        </w:rPr>
      </w:pPr>
      <w:r>
        <w:rPr>
          <w:rFonts w:hint="eastAsia" w:ascii="宋体" w:hAnsi="宋体"/>
          <w:b/>
          <w:bCs/>
          <w:color w:val="FF0000"/>
          <w:sz w:val="56"/>
          <w:szCs w:val="56"/>
          <w14:shadow w14:blurRad="50800" w14:dist="38100" w14:dir="0" w14:sx="100000" w14:sy="100000" w14:kx="0" w14:ky="0" w14:algn="l">
            <w14:srgbClr w14:val="000000">
              <w14:alpha w14:val="60000"/>
            </w14:srgbClr>
          </w14:shadow>
        </w:rPr>
        <w:t>整体规划及创作人员</w:t>
      </w:r>
      <w:r>
        <w:rPr>
          <w:rFonts w:hint="eastAsia" w:ascii="宋体" w:hAnsi="宋体"/>
          <w:b/>
          <w:bCs/>
          <w:color w:val="FF0000"/>
          <w:sz w:val="56"/>
          <w:szCs w:val="56"/>
          <w:lang w:val="en-US" w:eastAsia="zh-CN"/>
          <w14:shadow w14:blurRad="50800" w14:dist="38100" w14:dir="0" w14:sx="100000" w14:sy="100000" w14:kx="0" w14:ky="0" w14:algn="l">
            <w14:srgbClr w14:val="000000">
              <w14:alpha w14:val="60000"/>
            </w14:srgbClr>
          </w14:shadow>
        </w:rPr>
        <w:t>配备</w:t>
      </w:r>
    </w:p>
    <w:p>
      <w:pPr>
        <w:spacing w:line="360" w:lineRule="auto"/>
        <w:jc w:val="center"/>
        <w:rPr>
          <w:rFonts w:hint="default" w:ascii="宋体" w:hAnsi="宋体" w:eastAsia="宋体"/>
          <w:b/>
          <w:bCs/>
          <w:color w:val="FF0000"/>
          <w:sz w:val="48"/>
          <w:szCs w:val="48"/>
          <w:lang w:val="en-US" w:eastAsia="zh-CN"/>
          <w14:shadow w14:blurRad="50800" w14:dist="38100" w14:dir="0" w14:sx="100000" w14:sy="100000" w14:kx="0" w14:ky="0" w14:algn="l">
            <w14:srgbClr w14:val="000000">
              <w14:alpha w14:val="60000"/>
            </w14:srgbClr>
          </w14:shadow>
        </w:rPr>
      </w:pPr>
      <w:r>
        <w:rPr>
          <w:rFonts w:hint="eastAsia" w:ascii="宋体" w:hAnsi="宋体"/>
          <w:b/>
          <w:bCs/>
          <w:color w:val="FF0000"/>
          <w:sz w:val="56"/>
          <w:szCs w:val="56"/>
          <w:lang w:val="en-US" w:eastAsia="zh-CN"/>
          <w14:shadow w14:blurRad="50800" w14:dist="38100" w14:dir="0" w14:sx="100000" w14:sy="100000" w14:kx="0" w14:ky="0" w14:algn="l">
            <w14:srgbClr w14:val="000000">
              <w14:alpha w14:val="60000"/>
            </w14:srgbClr>
          </w14:shadow>
        </w:rPr>
        <w:t>服务项目</w:t>
      </w:r>
    </w:p>
    <w:p>
      <w:pPr>
        <w:spacing w:line="360" w:lineRule="auto"/>
        <w:jc w:val="center"/>
        <w:rPr>
          <w:rFonts w:ascii="宋体" w:hAnsi="宋体"/>
          <w:b/>
          <w:bCs/>
          <w:sz w:val="30"/>
          <w:szCs w:val="30"/>
          <w14:shadow w14:blurRad="50800" w14:dist="38100" w14:dir="0" w14:sx="100000" w14:sy="100000" w14:kx="0" w14:ky="0" w14:algn="l">
            <w14:srgbClr w14:val="000000">
              <w14:alpha w14:val="60000"/>
            </w14:srgbClr>
          </w14:shadow>
        </w:rPr>
      </w:pPr>
    </w:p>
    <w:p>
      <w:pPr>
        <w:spacing w:line="360" w:lineRule="auto"/>
        <w:jc w:val="center"/>
        <w:rPr>
          <w:rFonts w:ascii="宋体" w:hAnsi="宋体"/>
          <w:b/>
          <w:bCs/>
          <w:sz w:val="30"/>
          <w:szCs w:val="30"/>
          <w14:shadow w14:blurRad="50800" w14:dist="38100" w14:dir="0" w14:sx="100000" w14:sy="100000" w14:kx="0" w14:ky="0" w14:algn="l">
            <w14:srgbClr w14:val="000000">
              <w14:alpha w14:val="60000"/>
            </w14:srgbClr>
          </w14:shadow>
        </w:rPr>
      </w:pPr>
    </w:p>
    <w:p>
      <w:pPr>
        <w:spacing w:line="360" w:lineRule="auto"/>
        <w:jc w:val="center"/>
        <w:rPr>
          <w:rFonts w:ascii="宋体" w:hAnsi="宋体"/>
          <w:b/>
          <w:bCs/>
          <w:sz w:val="72"/>
          <w:szCs w:val="72"/>
          <w14:shadow w14:blurRad="50800" w14:dist="38100" w14:dir="0" w14:sx="100000" w14:sy="100000" w14:kx="0" w14:ky="0" w14:algn="l">
            <w14:srgbClr w14:val="000000">
              <w14:alpha w14:val="60000"/>
            </w14:srgbClr>
          </w14:shadow>
        </w:rPr>
      </w:pPr>
      <w:r>
        <w:rPr>
          <w:rFonts w:hint="eastAsia" w:ascii="宋体" w:hAnsi="宋体"/>
          <w:b/>
          <w:bCs/>
          <w:sz w:val="72"/>
          <w:szCs w:val="72"/>
          <w14:shadow w14:blurRad="50800" w14:dist="38100" w14:dir="0" w14:sx="100000" w14:sy="100000" w14:kx="0" w14:ky="0" w14:algn="l">
            <w14:srgbClr w14:val="000000">
              <w14:alpha w14:val="60000"/>
            </w14:srgbClr>
          </w14:shadow>
        </w:rPr>
        <w:t>报价邀请函</w:t>
      </w:r>
    </w:p>
    <w:p>
      <w:pPr>
        <w:spacing w:line="360" w:lineRule="auto"/>
        <w:jc w:val="center"/>
        <w:rPr>
          <w:rFonts w:hint="eastAsia" w:ascii="宋体" w:hAnsi="宋体" w:eastAsia="宋体"/>
          <w:b/>
          <w:bCs/>
          <w:sz w:val="30"/>
          <w:szCs w:val="30"/>
          <w:lang w:val="en-US" w:eastAsia="zh-CN"/>
          <w14:shadow w14:blurRad="50800" w14:dist="38100" w14:dir="0" w14:sx="100000" w14:sy="100000" w14:kx="0" w14:ky="0" w14:algn="l">
            <w14:srgbClr w14:val="000000">
              <w14:alpha w14:val="60000"/>
            </w14:srgbClr>
          </w14:shadow>
        </w:rPr>
      </w:pPr>
      <w:r>
        <w:rPr>
          <w:rFonts w:hint="eastAsia" w:ascii="宋体" w:hAnsi="宋体"/>
          <w:b/>
          <w:bCs/>
          <w:sz w:val="30"/>
          <w:szCs w:val="30"/>
          <w14:shadow w14:blurRad="50800" w14:dist="38100" w14:dir="0" w14:sx="100000" w14:sy="100000" w14:kx="0" w14:ky="0" w14:algn="l">
            <w14:srgbClr w14:val="000000">
              <w14:alpha w14:val="60000"/>
            </w14:srgbClr>
          </w14:shadow>
        </w:rPr>
        <w:t>编号：</w:t>
      </w:r>
      <w:r>
        <w:rPr>
          <w:rFonts w:ascii="宋体" w:hAnsi="宋体"/>
          <w:b/>
          <w:bCs/>
          <w:sz w:val="30"/>
          <w:szCs w:val="30"/>
          <w14:shadow w14:blurRad="50800" w14:dist="38100" w14:dir="0" w14:sx="100000" w14:sy="100000" w14:kx="0" w14:ky="0" w14:algn="l">
            <w14:srgbClr w14:val="000000">
              <w14:alpha w14:val="60000"/>
            </w14:srgbClr>
          </w14:shadow>
        </w:rPr>
        <w:t>YCDY-20231012-0</w:t>
      </w:r>
      <w:r>
        <w:rPr>
          <w:rFonts w:hint="eastAsia" w:ascii="宋体" w:hAnsi="宋体"/>
          <w:b/>
          <w:bCs/>
          <w:sz w:val="30"/>
          <w:szCs w:val="30"/>
          <w:lang w:val="en-US" w:eastAsia="zh-CN"/>
          <w14:shadow w14:blurRad="50800" w14:dist="38100" w14:dir="0" w14:sx="100000" w14:sy="100000" w14:kx="0" w14:ky="0" w14:algn="l">
            <w14:srgbClr w14:val="000000">
              <w14:alpha w14:val="60000"/>
            </w14:srgbClr>
          </w14:shadow>
        </w:rPr>
        <w:t>9</w:t>
      </w: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jc w:val="center"/>
        <w:rPr>
          <w:rFonts w:ascii="宋体" w:hAnsi="宋体"/>
          <w:b/>
          <w:bCs/>
          <w:sz w:val="30"/>
          <w:szCs w:val="30"/>
        </w:rPr>
      </w:pPr>
      <w:r>
        <w:rPr>
          <w:rFonts w:hint="eastAsia" w:ascii="宋体" w:hAnsi="宋体"/>
          <w:b/>
          <w:bCs/>
          <w:sz w:val="30"/>
          <w:szCs w:val="30"/>
        </w:rPr>
        <w:t>广州市演出电影有限公司</w:t>
      </w:r>
    </w:p>
    <w:p>
      <w:pPr>
        <w:spacing w:line="360" w:lineRule="auto"/>
        <w:jc w:val="center"/>
        <w:rPr>
          <w:rFonts w:ascii="宋体" w:hAnsi="宋体"/>
          <w:b/>
          <w:bCs/>
          <w:sz w:val="30"/>
          <w:szCs w:val="30"/>
        </w:rPr>
      </w:pPr>
      <w:r>
        <w:rPr>
          <w:rFonts w:hint="eastAsia" w:ascii="宋体" w:hAnsi="宋体"/>
          <w:b/>
          <w:bCs/>
          <w:sz w:val="30"/>
          <w:szCs w:val="30"/>
        </w:rPr>
        <w:t>202</w:t>
      </w:r>
      <w:r>
        <w:rPr>
          <w:rFonts w:ascii="宋体" w:hAnsi="宋体"/>
          <w:b/>
          <w:bCs/>
          <w:sz w:val="30"/>
          <w:szCs w:val="30"/>
        </w:rPr>
        <w:t>3</w:t>
      </w:r>
      <w:r>
        <w:rPr>
          <w:rFonts w:hint="eastAsia" w:ascii="宋体" w:hAnsi="宋体"/>
          <w:b/>
          <w:bCs/>
          <w:sz w:val="30"/>
          <w:szCs w:val="30"/>
        </w:rPr>
        <w:t>年</w:t>
      </w:r>
      <w:r>
        <w:rPr>
          <w:rFonts w:ascii="宋体" w:hAnsi="宋体"/>
          <w:b/>
          <w:bCs/>
          <w:sz w:val="30"/>
          <w:szCs w:val="30"/>
        </w:rPr>
        <w:t>10</w:t>
      </w:r>
      <w:r>
        <w:rPr>
          <w:rFonts w:hint="eastAsia" w:ascii="宋体" w:hAnsi="宋体"/>
          <w:b/>
          <w:bCs/>
          <w:sz w:val="30"/>
          <w:szCs w:val="30"/>
        </w:rPr>
        <w:t>月</w:t>
      </w:r>
    </w:p>
    <w:p>
      <w:pPr>
        <w:spacing w:line="360" w:lineRule="auto"/>
        <w:rPr>
          <w:rFonts w:ascii="宋体" w:hAnsi="宋体"/>
          <w:b/>
          <w:bCs/>
          <w:sz w:val="24"/>
          <w:szCs w:val="24"/>
        </w:rPr>
      </w:pPr>
    </w:p>
    <w:p>
      <w:pPr>
        <w:spacing w:line="360" w:lineRule="auto"/>
        <w:rPr>
          <w:rFonts w:ascii="宋体" w:hAnsi="宋体"/>
          <w:b/>
          <w:bCs/>
          <w:sz w:val="24"/>
          <w:szCs w:val="24"/>
        </w:rPr>
      </w:pPr>
    </w:p>
    <w:p>
      <w:pPr>
        <w:spacing w:line="360" w:lineRule="auto"/>
        <w:rPr>
          <w:rFonts w:ascii="宋体" w:hAnsi="宋体"/>
          <w:b/>
          <w:bCs/>
          <w:sz w:val="24"/>
          <w:szCs w:val="24"/>
        </w:rPr>
      </w:pPr>
    </w:p>
    <w:p>
      <w:pPr>
        <w:spacing w:line="360" w:lineRule="auto"/>
        <w:rPr>
          <w:rFonts w:ascii="宋体" w:hAnsi="宋体"/>
          <w:b/>
          <w:bCs/>
          <w:sz w:val="24"/>
          <w:szCs w:val="24"/>
        </w:rPr>
      </w:pPr>
    </w:p>
    <w:p>
      <w:pPr>
        <w:spacing w:line="360" w:lineRule="auto"/>
        <w:rPr>
          <w:rFonts w:ascii="宋体" w:hAnsi="宋体"/>
          <w:b/>
          <w:bCs/>
          <w:sz w:val="24"/>
          <w:szCs w:val="24"/>
        </w:rPr>
      </w:pPr>
    </w:p>
    <w:p>
      <w:pPr>
        <w:spacing w:line="360" w:lineRule="auto"/>
        <w:rPr>
          <w:rFonts w:ascii="宋体" w:hAnsi="宋体"/>
          <w:b/>
          <w:bCs/>
          <w:sz w:val="24"/>
          <w:szCs w:val="24"/>
        </w:rPr>
      </w:pPr>
      <w:r>
        <w:rPr>
          <w:rFonts w:ascii="宋体" w:hAnsi="宋体"/>
          <w:b/>
          <w:bCs/>
          <w:sz w:val="24"/>
          <w:szCs w:val="24"/>
        </w:rPr>
        <w:t xml:space="preserve"> </w:t>
      </w:r>
      <w:r>
        <w:rPr>
          <w:rFonts w:ascii="宋体" w:hAnsi="宋体"/>
          <w:b/>
          <w:bCs/>
          <w:sz w:val="24"/>
          <w:szCs w:val="24"/>
          <w:u w:val="single"/>
        </w:rPr>
        <w:t xml:space="preserve">                        </w:t>
      </w:r>
      <w:r>
        <w:rPr>
          <w:rFonts w:hint="eastAsia" w:ascii="宋体" w:hAnsi="宋体"/>
          <w:b/>
          <w:bCs/>
          <w:sz w:val="24"/>
          <w:szCs w:val="24"/>
        </w:rPr>
        <w:t>有限公司：</w:t>
      </w:r>
    </w:p>
    <w:p>
      <w:pPr>
        <w:spacing w:line="360" w:lineRule="auto"/>
        <w:ind w:firstLine="480" w:firstLineChars="200"/>
        <w:rPr>
          <w:rFonts w:ascii="宋体" w:hAnsi="宋体"/>
          <w:sz w:val="24"/>
          <w:szCs w:val="24"/>
        </w:rPr>
      </w:pPr>
      <w:r>
        <w:rPr>
          <w:rFonts w:hint="eastAsia" w:ascii="宋体" w:hAnsi="宋体"/>
          <w:sz w:val="24"/>
          <w:szCs w:val="24"/>
        </w:rPr>
        <w:t>广州国际灯光节与法国、悉尼并列为世界三大灯光节,于每年年底举办，从2011年起，已举办</w:t>
      </w:r>
      <w:r>
        <w:rPr>
          <w:rFonts w:hint="eastAsia" w:ascii="宋体" w:hAnsi="宋体"/>
          <w:sz w:val="24"/>
          <w:szCs w:val="24"/>
          <w:lang w:eastAsia="zh-CN"/>
        </w:rPr>
        <w:t>十一</w:t>
      </w:r>
      <w:r>
        <w:rPr>
          <w:rFonts w:hint="eastAsia" w:ascii="宋体" w:hAnsi="宋体"/>
          <w:sz w:val="24"/>
          <w:szCs w:val="24"/>
        </w:rPr>
        <w:t>届，联合国教科文组织把广州国际灯光节选入2015年“国际光年”大型文化活动，并在“国际光年”官网作出了特别推荐</w:t>
      </w:r>
      <w:r>
        <w:rPr>
          <w:rFonts w:hint="eastAsia" w:ascii="宋体" w:hAnsi="宋体"/>
          <w:sz w:val="24"/>
          <w:szCs w:val="24"/>
          <w:lang w:eastAsia="zh-CN"/>
        </w:rPr>
        <w:t>。</w:t>
      </w:r>
      <w:r>
        <w:rPr>
          <w:rFonts w:hint="eastAsia" w:ascii="宋体" w:hAnsi="宋体"/>
          <w:sz w:val="24"/>
          <w:szCs w:val="24"/>
        </w:rPr>
        <w:t>本项目需要为“2</w:t>
      </w:r>
      <w:r>
        <w:rPr>
          <w:rFonts w:ascii="宋体" w:hAnsi="宋体"/>
          <w:sz w:val="24"/>
          <w:szCs w:val="24"/>
        </w:rPr>
        <w:t>023</w:t>
      </w:r>
      <w:r>
        <w:rPr>
          <w:rFonts w:hint="eastAsia" w:ascii="宋体" w:hAnsi="宋体"/>
          <w:sz w:val="24"/>
          <w:szCs w:val="24"/>
        </w:rPr>
        <w:t>年广州国际灯光节”整体规划及创作人员提供</w:t>
      </w:r>
      <w:r>
        <w:rPr>
          <w:rFonts w:hint="eastAsia" w:ascii="宋体" w:hAnsi="宋体"/>
          <w:sz w:val="24"/>
          <w:szCs w:val="24"/>
          <w:lang w:val="en-US" w:eastAsia="zh-CN"/>
        </w:rPr>
        <w:t>配备</w:t>
      </w:r>
      <w:r>
        <w:rPr>
          <w:rFonts w:hint="eastAsia" w:ascii="宋体" w:hAnsi="宋体"/>
          <w:sz w:val="24"/>
          <w:szCs w:val="24"/>
        </w:rPr>
        <w:t>服务，现邀请符合条件的供应商提供本项目</w:t>
      </w:r>
      <w:r>
        <w:rPr>
          <w:rFonts w:hint="eastAsia" w:ascii="宋体" w:hAnsi="宋体"/>
          <w:sz w:val="24"/>
          <w:szCs w:val="24"/>
          <w:lang w:val="en-US" w:eastAsia="zh-CN"/>
        </w:rPr>
        <w:t>人员配备</w:t>
      </w:r>
      <w:r>
        <w:rPr>
          <w:rFonts w:hint="eastAsia" w:ascii="宋体" w:hAnsi="宋体"/>
          <w:sz w:val="24"/>
          <w:szCs w:val="24"/>
        </w:rPr>
        <w:t>服务。</w:t>
      </w:r>
    </w:p>
    <w:p/>
    <w:p>
      <w:pPr>
        <w:pStyle w:val="6"/>
        <w:numPr>
          <w:ilvl w:val="0"/>
          <w:numId w:val="1"/>
        </w:numPr>
        <w:spacing w:line="360" w:lineRule="auto"/>
        <w:ind w:firstLineChars="0"/>
        <w:rPr>
          <w:rFonts w:ascii="宋体" w:hAnsi="宋体"/>
          <w:b/>
          <w:bCs/>
          <w:sz w:val="24"/>
          <w:szCs w:val="24"/>
        </w:rPr>
      </w:pPr>
      <w:r>
        <w:rPr>
          <w:rFonts w:hint="eastAsia" w:ascii="宋体" w:hAnsi="宋体"/>
          <w:b/>
          <w:bCs/>
          <w:sz w:val="24"/>
          <w:szCs w:val="24"/>
        </w:rPr>
        <w:t>项目信息表</w:t>
      </w:r>
    </w:p>
    <w:tbl>
      <w:tblPr>
        <w:tblStyle w:val="4"/>
        <w:tblW w:w="951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1074"/>
        <w:gridCol w:w="1436"/>
        <w:gridCol w:w="477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7"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项目名称</w:t>
            </w:r>
          </w:p>
        </w:tc>
        <w:tc>
          <w:tcPr>
            <w:tcW w:w="7283" w:type="dxa"/>
            <w:gridSpan w:val="3"/>
            <w:vAlign w:val="center"/>
          </w:tcPr>
          <w:p>
            <w:pPr>
              <w:spacing w:line="360" w:lineRule="auto"/>
              <w:jc w:val="both"/>
              <w:rPr>
                <w:rFonts w:ascii="宋体" w:hAnsi="宋体"/>
                <w:sz w:val="24"/>
                <w:szCs w:val="24"/>
              </w:rPr>
            </w:pPr>
            <w:r>
              <w:rPr>
                <w:rFonts w:hint="eastAsia" w:ascii="宋体" w:hAnsi="宋体"/>
                <w:sz w:val="24"/>
                <w:szCs w:val="24"/>
              </w:rPr>
              <w:t>2023年广州国际灯光节整体规划及创作人员</w:t>
            </w:r>
            <w:r>
              <w:rPr>
                <w:rFonts w:hint="eastAsia" w:ascii="宋体" w:hAnsi="宋体"/>
                <w:sz w:val="24"/>
                <w:szCs w:val="24"/>
                <w:lang w:val="en-US" w:eastAsia="zh-CN"/>
              </w:rPr>
              <w:t>配备服务项目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项目编号</w:t>
            </w:r>
          </w:p>
        </w:tc>
        <w:tc>
          <w:tcPr>
            <w:tcW w:w="7283" w:type="dxa"/>
            <w:gridSpan w:val="3"/>
            <w:vAlign w:val="center"/>
          </w:tcPr>
          <w:p>
            <w:pPr>
              <w:spacing w:line="360" w:lineRule="auto"/>
              <w:rPr>
                <w:rFonts w:hint="eastAsia" w:ascii="宋体" w:hAnsi="宋体" w:eastAsia="宋体"/>
                <w:sz w:val="24"/>
                <w:szCs w:val="24"/>
                <w:lang w:val="en-US" w:eastAsia="zh-CN"/>
              </w:rPr>
            </w:pPr>
            <w:r>
              <w:rPr>
                <w:rFonts w:ascii="宋体" w:hAnsi="宋体"/>
                <w:sz w:val="24"/>
                <w:szCs w:val="24"/>
              </w:rPr>
              <w:t>YCDY-20231012-0</w:t>
            </w:r>
            <w:r>
              <w:rPr>
                <w:rFonts w:hint="eastAsia" w:ascii="宋体" w:hAnsi="宋体"/>
                <w:sz w:val="24"/>
                <w:szCs w:val="24"/>
                <w:lang w:val="en-US" w:eastAsia="zh-CN"/>
              </w:rPr>
              <w:t>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项目地址</w:t>
            </w:r>
          </w:p>
        </w:tc>
        <w:tc>
          <w:tcPr>
            <w:tcW w:w="7283" w:type="dxa"/>
            <w:gridSpan w:val="3"/>
            <w:vAlign w:val="center"/>
          </w:tcPr>
          <w:p>
            <w:pPr>
              <w:spacing w:line="360" w:lineRule="auto"/>
              <w:rPr>
                <w:rFonts w:hint="eastAsia" w:ascii="宋体" w:hAnsi="宋体" w:eastAsia="宋体"/>
                <w:sz w:val="24"/>
                <w:szCs w:val="24"/>
                <w:lang w:eastAsia="zh-CN"/>
              </w:rPr>
            </w:pPr>
            <w:r>
              <w:rPr>
                <w:rFonts w:hint="eastAsia" w:ascii="宋体" w:hAnsi="宋体"/>
                <w:sz w:val="24"/>
                <w:szCs w:val="24"/>
              </w:rPr>
              <w:t>广州市沿江路24栋建筑媒体立面</w:t>
            </w:r>
            <w:r>
              <w:rPr>
                <w:rFonts w:hint="eastAsia" w:ascii="宋体" w:hAnsi="宋体"/>
                <w:sz w:val="24"/>
                <w:szCs w:val="24"/>
                <w:lang w:eastAsia="zh-CN"/>
              </w:rPr>
              <w:t>、</w:t>
            </w:r>
            <w:r>
              <w:rPr>
                <w:rFonts w:hint="eastAsia" w:ascii="宋体" w:hAnsi="宋体"/>
                <w:sz w:val="24"/>
                <w:szCs w:val="24"/>
              </w:rPr>
              <w:t>猎德大桥</w:t>
            </w:r>
            <w:r>
              <w:rPr>
                <w:rFonts w:hint="eastAsia" w:ascii="宋体" w:hAnsi="宋体"/>
                <w:sz w:val="24"/>
                <w:szCs w:val="24"/>
                <w:lang w:eastAsia="zh-CN"/>
              </w:rPr>
              <w:t>、</w:t>
            </w:r>
            <w:r>
              <w:rPr>
                <w:rFonts w:hint="eastAsia" w:ascii="宋体" w:hAnsi="宋体"/>
                <w:sz w:val="24"/>
                <w:szCs w:val="24"/>
              </w:rPr>
              <w:t>海心沙亚运公园</w:t>
            </w:r>
            <w:r>
              <w:rPr>
                <w:rFonts w:hint="eastAsia" w:ascii="宋体" w:hAnsi="宋体"/>
                <w:sz w:val="24"/>
                <w:szCs w:val="24"/>
                <w:lang w:eastAsia="zh-CN"/>
              </w:rPr>
              <w:t>、</w:t>
            </w:r>
            <w:r>
              <w:rPr>
                <w:rFonts w:hint="eastAsia" w:ascii="宋体" w:hAnsi="宋体"/>
                <w:sz w:val="24"/>
                <w:szCs w:val="24"/>
              </w:rPr>
              <w:t>广州塔</w:t>
            </w:r>
            <w:r>
              <w:rPr>
                <w:rFonts w:hint="eastAsia" w:ascii="宋体" w:hAnsi="宋体"/>
                <w:sz w:val="24"/>
                <w:szCs w:val="24"/>
                <w:lang w:eastAsia="zh-CN"/>
              </w:rPr>
              <w:t>、花城广场</w:t>
            </w:r>
            <w:r>
              <w:rPr>
                <w:rFonts w:hint="eastAsia" w:ascii="宋体" w:hAnsi="宋体"/>
                <w:sz w:val="24"/>
                <w:szCs w:val="24"/>
                <w:lang w:val="en-US" w:eastAsia="zh-CN"/>
              </w:rPr>
              <w:t>及</w:t>
            </w:r>
            <w:r>
              <w:rPr>
                <w:rFonts w:hint="eastAsia" w:ascii="宋体" w:hAnsi="宋体"/>
                <w:sz w:val="24"/>
                <w:szCs w:val="24"/>
              </w:rPr>
              <w:t>海心桥</w:t>
            </w:r>
            <w:r>
              <w:rPr>
                <w:rFonts w:hint="eastAsia" w:ascii="宋体" w:hAnsi="宋体"/>
                <w:sz w:val="24"/>
                <w:szCs w:val="24"/>
                <w:lang w:eastAsia="zh-CN"/>
              </w:rPr>
              <w:t>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restart"/>
            <w:vAlign w:val="center"/>
          </w:tcPr>
          <w:p>
            <w:pPr>
              <w:spacing w:line="360" w:lineRule="auto"/>
              <w:rPr>
                <w:rFonts w:ascii="宋体" w:hAnsi="宋体"/>
                <w:sz w:val="24"/>
                <w:szCs w:val="24"/>
              </w:rPr>
            </w:pPr>
            <w:r>
              <w:rPr>
                <w:rFonts w:hint="eastAsia" w:ascii="宋体" w:hAnsi="宋体"/>
                <w:sz w:val="24"/>
                <w:szCs w:val="24"/>
              </w:rPr>
              <w:t>联系人</w:t>
            </w:r>
          </w:p>
        </w:tc>
        <w:tc>
          <w:tcPr>
            <w:tcW w:w="1074" w:type="dxa"/>
            <w:vMerge w:val="restart"/>
            <w:vAlign w:val="center"/>
          </w:tcPr>
          <w:p>
            <w:pPr>
              <w:spacing w:line="360" w:lineRule="auto"/>
              <w:rPr>
                <w:rFonts w:ascii="宋体" w:hAnsi="宋体"/>
                <w:sz w:val="24"/>
                <w:szCs w:val="24"/>
              </w:rPr>
            </w:pPr>
            <w:r>
              <w:rPr>
                <w:rFonts w:hint="eastAsia" w:ascii="宋体" w:hAnsi="宋体"/>
                <w:sz w:val="24"/>
                <w:szCs w:val="24"/>
              </w:rPr>
              <w:t>李先生</w:t>
            </w:r>
          </w:p>
        </w:tc>
        <w:tc>
          <w:tcPr>
            <w:tcW w:w="1436" w:type="dxa"/>
            <w:vAlign w:val="center"/>
          </w:tcPr>
          <w:p>
            <w:pPr>
              <w:spacing w:line="360" w:lineRule="auto"/>
              <w:rPr>
                <w:rFonts w:ascii="宋体" w:hAnsi="宋体"/>
                <w:sz w:val="24"/>
                <w:szCs w:val="24"/>
              </w:rPr>
            </w:pPr>
            <w:r>
              <w:rPr>
                <w:rFonts w:hint="eastAsia" w:ascii="宋体" w:hAnsi="宋体"/>
                <w:sz w:val="24"/>
                <w:szCs w:val="24"/>
              </w:rPr>
              <w:t>电</w:t>
            </w:r>
            <w:r>
              <w:rPr>
                <w:rFonts w:ascii="宋体" w:hAnsi="宋体"/>
                <w:sz w:val="24"/>
                <w:szCs w:val="24"/>
              </w:rPr>
              <w:t xml:space="preserve">    </w:t>
            </w:r>
            <w:r>
              <w:rPr>
                <w:rFonts w:hint="eastAsia" w:ascii="宋体" w:hAnsi="宋体"/>
                <w:sz w:val="24"/>
                <w:szCs w:val="24"/>
              </w:rPr>
              <w:t>话</w:t>
            </w:r>
          </w:p>
        </w:tc>
        <w:tc>
          <w:tcPr>
            <w:tcW w:w="4773" w:type="dxa"/>
            <w:vAlign w:val="center"/>
          </w:tcPr>
          <w:p>
            <w:pPr>
              <w:spacing w:line="360" w:lineRule="auto"/>
              <w:rPr>
                <w:rFonts w:ascii="宋体" w:hAnsi="宋体"/>
                <w:sz w:val="24"/>
                <w:szCs w:val="24"/>
              </w:rPr>
            </w:pPr>
            <w:r>
              <w:rPr>
                <w:rFonts w:hint="eastAsia" w:ascii="宋体" w:hAnsi="宋体"/>
                <w:sz w:val="24"/>
                <w:szCs w:val="24"/>
              </w:rPr>
              <w:t>020-838</w:t>
            </w:r>
            <w:r>
              <w:rPr>
                <w:rFonts w:ascii="宋体" w:hAnsi="宋体"/>
                <w:sz w:val="24"/>
                <w:szCs w:val="24"/>
              </w:rPr>
              <w:t>22108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continue"/>
            <w:vAlign w:val="center"/>
          </w:tcPr>
          <w:p>
            <w:pPr>
              <w:spacing w:line="360" w:lineRule="auto"/>
              <w:rPr>
                <w:rFonts w:ascii="宋体" w:hAnsi="宋体"/>
                <w:sz w:val="24"/>
                <w:szCs w:val="24"/>
              </w:rPr>
            </w:pPr>
          </w:p>
        </w:tc>
        <w:tc>
          <w:tcPr>
            <w:tcW w:w="1074" w:type="dxa"/>
            <w:vMerge w:val="continue"/>
            <w:vAlign w:val="center"/>
          </w:tcPr>
          <w:p>
            <w:pPr>
              <w:spacing w:line="360" w:lineRule="auto"/>
              <w:rPr>
                <w:rFonts w:ascii="宋体" w:hAnsi="宋体"/>
                <w:sz w:val="24"/>
                <w:szCs w:val="24"/>
              </w:rPr>
            </w:pPr>
          </w:p>
        </w:tc>
        <w:tc>
          <w:tcPr>
            <w:tcW w:w="1436" w:type="dxa"/>
            <w:vAlign w:val="center"/>
          </w:tcPr>
          <w:p>
            <w:pPr>
              <w:spacing w:line="360" w:lineRule="auto"/>
              <w:rPr>
                <w:rFonts w:ascii="宋体" w:hAnsi="宋体"/>
                <w:sz w:val="24"/>
                <w:szCs w:val="24"/>
              </w:rPr>
            </w:pPr>
            <w:r>
              <w:rPr>
                <w:rFonts w:hint="eastAsia" w:ascii="宋体" w:hAnsi="宋体"/>
                <w:sz w:val="24"/>
                <w:szCs w:val="24"/>
              </w:rPr>
              <w:t>移动电话</w:t>
            </w:r>
          </w:p>
        </w:tc>
        <w:tc>
          <w:tcPr>
            <w:tcW w:w="4773" w:type="dxa"/>
            <w:vAlign w:val="center"/>
          </w:tcPr>
          <w:p>
            <w:pPr>
              <w:spacing w:line="360" w:lineRule="auto"/>
              <w:rPr>
                <w:rFonts w:ascii="宋体" w:hAnsi="宋体"/>
                <w:sz w:val="24"/>
                <w:szCs w:val="24"/>
              </w:rPr>
            </w:pPr>
            <w:r>
              <w:rPr>
                <w:rFonts w:ascii="宋体" w:hAnsi="宋体"/>
                <w:sz w:val="24"/>
                <w:szCs w:val="24"/>
              </w:rPr>
              <w:t>13660071628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continue"/>
            <w:vAlign w:val="center"/>
          </w:tcPr>
          <w:p>
            <w:pPr>
              <w:spacing w:line="360" w:lineRule="auto"/>
              <w:rPr>
                <w:rFonts w:ascii="宋体" w:hAnsi="宋体"/>
                <w:sz w:val="24"/>
                <w:szCs w:val="24"/>
              </w:rPr>
            </w:pPr>
          </w:p>
        </w:tc>
        <w:tc>
          <w:tcPr>
            <w:tcW w:w="1074" w:type="dxa"/>
            <w:vMerge w:val="continue"/>
            <w:vAlign w:val="center"/>
          </w:tcPr>
          <w:p>
            <w:pPr>
              <w:spacing w:line="360" w:lineRule="auto"/>
              <w:rPr>
                <w:rFonts w:ascii="宋体" w:hAnsi="宋体"/>
                <w:sz w:val="24"/>
                <w:szCs w:val="24"/>
              </w:rPr>
            </w:pPr>
          </w:p>
        </w:tc>
        <w:tc>
          <w:tcPr>
            <w:tcW w:w="1436" w:type="dxa"/>
            <w:vAlign w:val="center"/>
          </w:tcPr>
          <w:p>
            <w:pPr>
              <w:spacing w:line="360" w:lineRule="auto"/>
              <w:rPr>
                <w:rFonts w:ascii="宋体" w:hAnsi="宋体"/>
                <w:sz w:val="24"/>
                <w:szCs w:val="24"/>
              </w:rPr>
            </w:pPr>
            <w:r>
              <w:rPr>
                <w:rFonts w:hint="eastAsia" w:ascii="宋体" w:hAnsi="宋体"/>
                <w:sz w:val="24"/>
                <w:szCs w:val="24"/>
              </w:rPr>
              <w:t xml:space="preserve">邮 </w:t>
            </w:r>
            <w:r>
              <w:rPr>
                <w:rFonts w:ascii="宋体" w:hAnsi="宋体"/>
                <w:sz w:val="24"/>
                <w:szCs w:val="24"/>
              </w:rPr>
              <w:t xml:space="preserve">   </w:t>
            </w:r>
            <w:r>
              <w:rPr>
                <w:rFonts w:hint="eastAsia" w:ascii="宋体" w:hAnsi="宋体"/>
                <w:sz w:val="24"/>
                <w:szCs w:val="24"/>
              </w:rPr>
              <w:t>箱</w:t>
            </w:r>
          </w:p>
        </w:tc>
        <w:tc>
          <w:tcPr>
            <w:tcW w:w="4773" w:type="dxa"/>
            <w:vAlign w:val="center"/>
          </w:tcPr>
          <w:p>
            <w:pPr>
              <w:spacing w:line="360" w:lineRule="auto"/>
              <w:rPr>
                <w:rFonts w:ascii="宋体" w:hAnsi="宋体"/>
                <w:sz w:val="24"/>
                <w:szCs w:val="24"/>
              </w:rPr>
            </w:pPr>
            <w:r>
              <w:rPr>
                <w:rFonts w:ascii="宋体" w:hAnsi="宋体"/>
                <w:sz w:val="24"/>
                <w:szCs w:val="24"/>
              </w:rPr>
              <w:t>g</w:t>
            </w:r>
            <w:r>
              <w:rPr>
                <w:rFonts w:hint="eastAsia" w:ascii="宋体" w:hAnsi="宋体"/>
                <w:sz w:val="24"/>
                <w:szCs w:val="24"/>
              </w:rPr>
              <w:t>cb</w:t>
            </w:r>
            <w:r>
              <w:rPr>
                <w:rFonts w:ascii="宋体" w:hAnsi="宋体"/>
                <w:sz w:val="24"/>
                <w:szCs w:val="24"/>
              </w:rPr>
              <w:t>83880791</w:t>
            </w:r>
            <w:r>
              <w:rPr>
                <w:rFonts w:hint="eastAsia" w:ascii="宋体" w:hAnsi="宋体"/>
                <w:sz w:val="24"/>
                <w:szCs w:val="24"/>
              </w:rPr>
              <w:t>@</w:t>
            </w:r>
            <w:r>
              <w:rPr>
                <w:rFonts w:ascii="宋体" w:hAnsi="宋体"/>
                <w:sz w:val="24"/>
                <w:szCs w:val="24"/>
              </w:rPr>
              <w:t>qq.com</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1" w:hRule="atLeast"/>
          <w:jc w:val="center"/>
        </w:trPr>
        <w:tc>
          <w:tcPr>
            <w:tcW w:w="2235" w:type="dxa"/>
            <w:vMerge w:val="continue"/>
            <w:vAlign w:val="center"/>
          </w:tcPr>
          <w:p>
            <w:pPr>
              <w:spacing w:line="360" w:lineRule="auto"/>
              <w:rPr>
                <w:rFonts w:ascii="宋体" w:hAnsi="宋体"/>
                <w:sz w:val="24"/>
                <w:szCs w:val="24"/>
              </w:rPr>
            </w:pPr>
          </w:p>
        </w:tc>
        <w:tc>
          <w:tcPr>
            <w:tcW w:w="1074" w:type="dxa"/>
            <w:vMerge w:val="continue"/>
            <w:vAlign w:val="center"/>
          </w:tcPr>
          <w:p>
            <w:pPr>
              <w:spacing w:line="360" w:lineRule="auto"/>
              <w:rPr>
                <w:rFonts w:ascii="宋体" w:hAnsi="宋体"/>
                <w:sz w:val="24"/>
                <w:szCs w:val="24"/>
              </w:rPr>
            </w:pPr>
          </w:p>
        </w:tc>
        <w:tc>
          <w:tcPr>
            <w:tcW w:w="1436" w:type="dxa"/>
            <w:vAlign w:val="center"/>
          </w:tcPr>
          <w:p>
            <w:pPr>
              <w:spacing w:line="360" w:lineRule="auto"/>
              <w:rPr>
                <w:rFonts w:ascii="宋体" w:hAnsi="宋体"/>
                <w:sz w:val="24"/>
                <w:szCs w:val="24"/>
              </w:rPr>
            </w:pPr>
            <w:r>
              <w:rPr>
                <w:rFonts w:hint="eastAsia" w:ascii="宋体" w:hAnsi="宋体"/>
                <w:sz w:val="24"/>
                <w:szCs w:val="24"/>
              </w:rPr>
              <w:t>通信地址</w:t>
            </w:r>
          </w:p>
        </w:tc>
        <w:tc>
          <w:tcPr>
            <w:tcW w:w="4773" w:type="dxa"/>
            <w:vAlign w:val="center"/>
          </w:tcPr>
          <w:p>
            <w:pPr>
              <w:spacing w:line="360" w:lineRule="auto"/>
              <w:rPr>
                <w:rFonts w:ascii="宋体" w:hAnsi="宋体"/>
                <w:sz w:val="24"/>
                <w:szCs w:val="24"/>
              </w:rPr>
            </w:pPr>
            <w:r>
              <w:rPr>
                <w:rFonts w:ascii="宋体" w:hAnsi="宋体"/>
                <w:sz w:val="24"/>
                <w:szCs w:val="24"/>
              </w:rPr>
              <w:t>广州市越秀区建设三马路新时代大</w:t>
            </w:r>
            <w:r>
              <w:rPr>
                <w:rFonts w:hint="eastAsia" w:ascii="宋体" w:hAnsi="宋体"/>
                <w:sz w:val="24"/>
                <w:szCs w:val="24"/>
              </w:rPr>
              <w:t>厦二楼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584"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项目内容</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为将在2023年</w:t>
            </w:r>
            <w:r>
              <w:rPr>
                <w:rFonts w:hint="eastAsia" w:ascii="宋体" w:hAnsi="宋体"/>
                <w:sz w:val="24"/>
                <w:szCs w:val="24"/>
                <w:lang w:eastAsia="zh-CN"/>
              </w:rPr>
              <w:t>举行的</w:t>
            </w:r>
            <w:r>
              <w:rPr>
                <w:rFonts w:hint="eastAsia" w:ascii="宋体" w:hAnsi="宋体"/>
                <w:sz w:val="24"/>
                <w:szCs w:val="24"/>
              </w:rPr>
              <w:t>广州国际灯光节</w:t>
            </w:r>
            <w:r>
              <w:rPr>
                <w:rFonts w:hint="eastAsia" w:ascii="宋体" w:hAnsi="宋体"/>
                <w:sz w:val="24"/>
                <w:szCs w:val="24"/>
                <w:lang w:eastAsia="zh-CN"/>
              </w:rPr>
              <w:t>提供</w:t>
            </w:r>
            <w:r>
              <w:rPr>
                <w:rFonts w:hint="eastAsia" w:ascii="宋体" w:hAnsi="宋体"/>
                <w:sz w:val="24"/>
                <w:szCs w:val="24"/>
              </w:rPr>
              <w:t>整体规划及创作人员</w:t>
            </w:r>
            <w:r>
              <w:rPr>
                <w:rFonts w:hint="eastAsia" w:ascii="宋体" w:hAnsi="宋体"/>
                <w:sz w:val="24"/>
                <w:szCs w:val="24"/>
                <w:lang w:val="en-US" w:eastAsia="zh-CN"/>
              </w:rPr>
              <w:t>配备服务项目</w:t>
            </w:r>
            <w:r>
              <w:rPr>
                <w:rFonts w:hint="eastAsia" w:ascii="宋体" w:hAnsi="宋体"/>
                <w:sz w:val="24"/>
                <w:szCs w:val="24"/>
              </w:rPr>
              <w:t>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报价方式</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邀请报价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邀请函发出时间</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20</w:t>
            </w:r>
            <w:r>
              <w:rPr>
                <w:rFonts w:ascii="宋体" w:hAnsi="宋体"/>
                <w:sz w:val="24"/>
                <w:szCs w:val="24"/>
              </w:rPr>
              <w:t>23</w:t>
            </w:r>
            <w:r>
              <w:rPr>
                <w:rFonts w:hint="eastAsia" w:ascii="宋体" w:hAnsi="宋体"/>
                <w:sz w:val="24"/>
                <w:szCs w:val="24"/>
              </w:rPr>
              <w:t>年</w:t>
            </w:r>
            <w:r>
              <w:rPr>
                <w:rFonts w:ascii="宋体" w:hAnsi="宋体"/>
                <w:sz w:val="24"/>
                <w:szCs w:val="24"/>
              </w:rPr>
              <w:t>10</w:t>
            </w:r>
            <w:r>
              <w:rPr>
                <w:rFonts w:hint="eastAsia" w:ascii="宋体" w:hAnsi="宋体"/>
                <w:sz w:val="24"/>
                <w:szCs w:val="24"/>
              </w:rPr>
              <w:t>月</w:t>
            </w:r>
            <w:r>
              <w:rPr>
                <w:rFonts w:ascii="宋体" w:hAnsi="宋体"/>
                <w:sz w:val="24"/>
                <w:szCs w:val="24"/>
              </w:rPr>
              <w:t>12</w:t>
            </w:r>
            <w:r>
              <w:rPr>
                <w:rFonts w:hint="eastAsia" w:ascii="宋体" w:hAnsi="宋体"/>
                <w:sz w:val="24"/>
                <w:szCs w:val="24"/>
              </w:rPr>
              <w:t>日9：00开始-</w:t>
            </w:r>
            <w:r>
              <w:rPr>
                <w:rFonts w:ascii="宋体" w:hAnsi="宋体"/>
                <w:sz w:val="24"/>
                <w:szCs w:val="24"/>
              </w:rPr>
              <w:t>2023年10月18日</w:t>
            </w:r>
            <w:r>
              <w:rPr>
                <w:rFonts w:hint="eastAsia" w:ascii="宋体" w:hAnsi="宋体"/>
                <w:sz w:val="24"/>
                <w:szCs w:val="24"/>
              </w:rPr>
              <w:t>17：30结束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1" w:hRule="atLeast"/>
          <w:jc w:val="center"/>
        </w:trPr>
        <w:tc>
          <w:tcPr>
            <w:tcW w:w="2235" w:type="dxa"/>
            <w:tcBorders>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保证金</w:t>
            </w:r>
          </w:p>
        </w:tc>
        <w:tc>
          <w:tcPr>
            <w:tcW w:w="7283" w:type="dxa"/>
            <w:gridSpan w:val="3"/>
            <w:tcBorders>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文件递交时间</w:t>
            </w:r>
          </w:p>
        </w:tc>
        <w:tc>
          <w:tcPr>
            <w:tcW w:w="7283" w:type="dxa"/>
            <w:gridSpan w:val="3"/>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202</w:t>
            </w:r>
            <w:r>
              <w:rPr>
                <w:rFonts w:ascii="宋体" w:hAnsi="宋体"/>
                <w:sz w:val="24"/>
                <w:szCs w:val="24"/>
              </w:rPr>
              <w:t>3</w:t>
            </w:r>
            <w:r>
              <w:rPr>
                <w:rFonts w:hint="eastAsia" w:ascii="宋体" w:hAnsi="宋体"/>
                <w:sz w:val="24"/>
                <w:szCs w:val="24"/>
              </w:rPr>
              <w:t>年</w:t>
            </w:r>
            <w:r>
              <w:rPr>
                <w:rFonts w:ascii="宋体" w:hAnsi="宋体"/>
                <w:sz w:val="24"/>
                <w:szCs w:val="24"/>
              </w:rPr>
              <w:t>10</w:t>
            </w:r>
            <w:r>
              <w:rPr>
                <w:rFonts w:hint="eastAsia" w:ascii="宋体" w:hAnsi="宋体"/>
                <w:sz w:val="24"/>
                <w:szCs w:val="24"/>
              </w:rPr>
              <w:t>月</w:t>
            </w:r>
            <w:r>
              <w:rPr>
                <w:rFonts w:ascii="宋体" w:hAnsi="宋体"/>
                <w:sz w:val="24"/>
                <w:szCs w:val="24"/>
              </w:rPr>
              <w:t>19</w:t>
            </w:r>
            <w:r>
              <w:rPr>
                <w:rFonts w:hint="eastAsia" w:ascii="宋体" w:hAnsi="宋体"/>
                <w:sz w:val="24"/>
                <w:szCs w:val="24"/>
              </w:rPr>
              <w:t>日9：00开始-202</w:t>
            </w:r>
            <w:r>
              <w:rPr>
                <w:rFonts w:ascii="宋体" w:hAnsi="宋体"/>
                <w:sz w:val="24"/>
                <w:szCs w:val="24"/>
              </w:rPr>
              <w:t>3</w:t>
            </w:r>
            <w:r>
              <w:rPr>
                <w:rFonts w:hint="eastAsia" w:ascii="宋体" w:hAnsi="宋体"/>
                <w:sz w:val="24"/>
                <w:szCs w:val="24"/>
              </w:rPr>
              <w:t>年</w:t>
            </w:r>
            <w:r>
              <w:rPr>
                <w:rFonts w:ascii="宋体" w:hAnsi="宋体"/>
                <w:sz w:val="24"/>
                <w:szCs w:val="24"/>
              </w:rPr>
              <w:t>10</w:t>
            </w:r>
            <w:r>
              <w:rPr>
                <w:rFonts w:hint="eastAsia" w:ascii="宋体" w:hAnsi="宋体"/>
                <w:sz w:val="24"/>
                <w:szCs w:val="24"/>
              </w:rPr>
              <w:t>月</w:t>
            </w:r>
            <w:r>
              <w:rPr>
                <w:rFonts w:ascii="宋体" w:hAnsi="宋体"/>
                <w:sz w:val="24"/>
                <w:szCs w:val="24"/>
              </w:rPr>
              <w:t>19</w:t>
            </w:r>
            <w:r>
              <w:rPr>
                <w:rFonts w:hint="eastAsia" w:ascii="宋体" w:hAnsi="宋体"/>
                <w:sz w:val="24"/>
                <w:szCs w:val="24"/>
              </w:rPr>
              <w:t>日</w:t>
            </w:r>
            <w:r>
              <w:rPr>
                <w:rFonts w:ascii="宋体" w:hAnsi="宋体"/>
                <w:sz w:val="24"/>
                <w:szCs w:val="24"/>
              </w:rPr>
              <w:t>9</w:t>
            </w:r>
            <w:r>
              <w:rPr>
                <w:rFonts w:hint="eastAsia" w:ascii="宋体" w:hAnsi="宋体"/>
                <w:sz w:val="24"/>
                <w:szCs w:val="24"/>
              </w:rPr>
              <w:t>：30结束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报价有效期</w:t>
            </w:r>
          </w:p>
        </w:tc>
        <w:tc>
          <w:tcPr>
            <w:tcW w:w="7283" w:type="dxa"/>
            <w:gridSpan w:val="3"/>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投标截止日后180个日历天内有效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报价文件分数</w:t>
            </w:r>
          </w:p>
        </w:tc>
        <w:tc>
          <w:tcPr>
            <w:tcW w:w="7283" w:type="dxa"/>
            <w:gridSpan w:val="3"/>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正本一份，副本一式两份，要求每份盖公章及骑缝章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tcBorders>
            <w:vAlign w:val="center"/>
          </w:tcPr>
          <w:p>
            <w:pPr>
              <w:spacing w:line="360" w:lineRule="auto"/>
              <w:rPr>
                <w:rFonts w:ascii="宋体" w:hAnsi="宋体"/>
                <w:sz w:val="24"/>
                <w:szCs w:val="24"/>
              </w:rPr>
            </w:pPr>
            <w:r>
              <w:rPr>
                <w:rFonts w:hint="eastAsia" w:ascii="宋体" w:hAnsi="宋体"/>
                <w:sz w:val="24"/>
                <w:szCs w:val="24"/>
              </w:rPr>
              <w:t>文件递交</w:t>
            </w:r>
          </w:p>
        </w:tc>
        <w:tc>
          <w:tcPr>
            <w:tcW w:w="7283" w:type="dxa"/>
            <w:gridSpan w:val="3"/>
            <w:tcBorders>
              <w:top w:val="single" w:color="auto" w:sz="4" w:space="0"/>
            </w:tcBorders>
            <w:vAlign w:val="center"/>
          </w:tcPr>
          <w:p>
            <w:pPr>
              <w:spacing w:line="360" w:lineRule="auto"/>
              <w:rPr>
                <w:rFonts w:ascii="宋体" w:hAnsi="宋体"/>
                <w:sz w:val="24"/>
                <w:szCs w:val="24"/>
              </w:rPr>
            </w:pPr>
            <w:r>
              <w:rPr>
                <w:rFonts w:hint="eastAsia" w:ascii="宋体" w:hAnsi="宋体"/>
                <w:sz w:val="24"/>
                <w:szCs w:val="24"/>
              </w:rPr>
              <w:t>递交至：广州市演出电影有限公司</w:t>
            </w:r>
          </w:p>
          <w:p>
            <w:pPr>
              <w:spacing w:line="360" w:lineRule="auto"/>
              <w:rPr>
                <w:rFonts w:ascii="宋体" w:hAnsi="宋体"/>
                <w:sz w:val="24"/>
                <w:szCs w:val="24"/>
              </w:rPr>
            </w:pPr>
            <w:r>
              <w:rPr>
                <w:rFonts w:hint="eastAsia" w:ascii="宋体" w:hAnsi="宋体"/>
                <w:sz w:val="24"/>
                <w:szCs w:val="24"/>
              </w:rPr>
              <w:t xml:space="preserve">地址： </w:t>
            </w:r>
            <w:r>
              <w:rPr>
                <w:rFonts w:ascii="宋体" w:hAnsi="宋体"/>
                <w:sz w:val="24"/>
                <w:szCs w:val="24"/>
              </w:rPr>
              <w:t xml:space="preserve"> </w:t>
            </w:r>
            <w:r>
              <w:rPr>
                <w:rFonts w:hint="eastAsia" w:ascii="宋体" w:hAnsi="宋体"/>
                <w:sz w:val="24"/>
                <w:szCs w:val="24"/>
              </w:rPr>
              <w:t>广州市越秀区建设三马路新时代大厦二楼工程技术部</w:t>
            </w:r>
          </w:p>
          <w:p>
            <w:pPr>
              <w:spacing w:line="360" w:lineRule="auto"/>
              <w:rPr>
                <w:rFonts w:ascii="宋体" w:hAnsi="宋体"/>
                <w:sz w:val="24"/>
                <w:szCs w:val="24"/>
              </w:rPr>
            </w:pPr>
            <w:r>
              <w:rPr>
                <w:rFonts w:hint="eastAsia" w:ascii="宋体" w:hAnsi="宋体"/>
                <w:sz w:val="24"/>
                <w:szCs w:val="24"/>
              </w:rPr>
              <w:t>接收人：李恒晖</w:t>
            </w:r>
          </w:p>
          <w:p>
            <w:pPr>
              <w:spacing w:line="360" w:lineRule="auto"/>
              <w:rPr>
                <w:rFonts w:ascii="宋体" w:hAnsi="宋体"/>
                <w:sz w:val="24"/>
                <w:szCs w:val="24"/>
              </w:rPr>
            </w:pPr>
            <w:r>
              <w:rPr>
                <w:rFonts w:hint="eastAsia" w:ascii="宋体" w:hAnsi="宋体"/>
                <w:sz w:val="24"/>
                <w:szCs w:val="24"/>
              </w:rPr>
              <w:t xml:space="preserve">文件接受截止时间： </w:t>
            </w:r>
            <w:r>
              <w:rPr>
                <w:rFonts w:ascii="宋体" w:hAnsi="宋体"/>
                <w:sz w:val="24"/>
                <w:szCs w:val="24"/>
              </w:rPr>
              <w:t>2023年10月19日</w:t>
            </w:r>
            <w:r>
              <w:rPr>
                <w:rFonts w:hint="eastAsia" w:ascii="宋体" w:hAnsi="宋体"/>
                <w:sz w:val="24"/>
                <w:szCs w:val="24"/>
              </w:rPr>
              <w:t>上午</w:t>
            </w:r>
            <w:r>
              <w:rPr>
                <w:rFonts w:ascii="宋体" w:hAnsi="宋体"/>
                <w:sz w:val="24"/>
                <w:szCs w:val="24"/>
              </w:rPr>
              <w:t>09</w:t>
            </w:r>
            <w:r>
              <w:rPr>
                <w:rFonts w:hint="eastAsia" w:ascii="宋体" w:hAnsi="宋体"/>
                <w:sz w:val="24"/>
                <w:szCs w:val="24"/>
              </w:rPr>
              <w:t>：30结束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tcBorders>
            <w:vAlign w:val="center"/>
          </w:tcPr>
          <w:p>
            <w:pPr>
              <w:spacing w:line="360" w:lineRule="auto"/>
              <w:rPr>
                <w:rFonts w:ascii="宋体" w:hAnsi="宋体"/>
                <w:sz w:val="24"/>
                <w:szCs w:val="24"/>
              </w:rPr>
            </w:pPr>
            <w:r>
              <w:rPr>
                <w:rFonts w:hint="eastAsia" w:ascii="宋体" w:hAnsi="宋体"/>
                <w:sz w:val="24"/>
                <w:szCs w:val="24"/>
              </w:rPr>
              <w:t>报价文件开启及评选时间</w:t>
            </w:r>
          </w:p>
        </w:tc>
        <w:tc>
          <w:tcPr>
            <w:tcW w:w="7283" w:type="dxa"/>
            <w:gridSpan w:val="3"/>
            <w:tcBorders>
              <w:top w:val="single" w:color="auto" w:sz="4" w:space="0"/>
            </w:tcBorders>
            <w:vAlign w:val="center"/>
          </w:tcPr>
          <w:p>
            <w:pPr>
              <w:spacing w:line="360" w:lineRule="auto"/>
              <w:rPr>
                <w:rFonts w:ascii="宋体" w:hAnsi="宋体"/>
                <w:sz w:val="24"/>
                <w:szCs w:val="24"/>
              </w:rPr>
            </w:pPr>
            <w:r>
              <w:rPr>
                <w:rFonts w:hint="eastAsia" w:ascii="宋体" w:hAnsi="宋体"/>
                <w:sz w:val="24"/>
                <w:szCs w:val="24"/>
              </w:rPr>
              <w:t>时间：2023年</w:t>
            </w:r>
            <w:r>
              <w:rPr>
                <w:rFonts w:ascii="宋体" w:hAnsi="宋体"/>
                <w:sz w:val="24"/>
                <w:szCs w:val="24"/>
              </w:rPr>
              <w:t>10</w:t>
            </w:r>
            <w:r>
              <w:rPr>
                <w:rFonts w:hint="eastAsia" w:ascii="宋体" w:hAnsi="宋体"/>
                <w:sz w:val="24"/>
                <w:szCs w:val="24"/>
              </w:rPr>
              <w:t>月</w:t>
            </w:r>
            <w:r>
              <w:rPr>
                <w:rFonts w:ascii="宋体" w:hAnsi="宋体"/>
                <w:sz w:val="24"/>
                <w:szCs w:val="24"/>
              </w:rPr>
              <w:t>19</w:t>
            </w:r>
            <w:r>
              <w:rPr>
                <w:rFonts w:hint="eastAsia" w:ascii="宋体" w:hAnsi="宋体"/>
                <w:sz w:val="24"/>
                <w:szCs w:val="24"/>
              </w:rPr>
              <w:t>日上午10：00</w:t>
            </w:r>
          </w:p>
          <w:p>
            <w:pPr>
              <w:spacing w:line="360" w:lineRule="auto"/>
              <w:rPr>
                <w:rFonts w:ascii="宋体" w:hAnsi="宋体"/>
                <w:sz w:val="24"/>
                <w:szCs w:val="24"/>
              </w:rPr>
            </w:pPr>
            <w:r>
              <w:rPr>
                <w:rFonts w:hint="eastAsia" w:ascii="宋体" w:hAnsi="宋体"/>
                <w:sz w:val="24"/>
                <w:szCs w:val="24"/>
              </w:rPr>
              <w:t>地点：广州市越秀区建设三马路新时代大厦二楼会议室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合同签订时间</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开标后7个工作日内</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资金限额</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不高于</w:t>
            </w:r>
            <w:r>
              <w:rPr>
                <w:rFonts w:ascii="宋体" w:hAnsi="宋体"/>
                <w:color w:val="FF0000"/>
                <w:sz w:val="24"/>
                <w:szCs w:val="24"/>
              </w:rPr>
              <w:t>100</w:t>
            </w:r>
            <w:r>
              <w:rPr>
                <w:rFonts w:hint="eastAsia" w:ascii="宋体" w:hAnsi="宋体"/>
                <w:sz w:val="24"/>
                <w:szCs w:val="24"/>
              </w:rPr>
              <w:t>万元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评标办法</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合理低价法</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资金来源</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企业自有资金</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技术要求</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见下要求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商务要求</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见下要求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合同模板</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见附件</w:t>
            </w:r>
          </w:p>
        </w:tc>
      </w:tr>
    </w:tbl>
    <w:p/>
    <w:p>
      <w:pPr>
        <w:pStyle w:val="6"/>
        <w:numPr>
          <w:ilvl w:val="0"/>
          <w:numId w:val="1"/>
        </w:numPr>
        <w:spacing w:line="360" w:lineRule="auto"/>
        <w:ind w:firstLineChars="0"/>
        <w:rPr>
          <w:rFonts w:ascii="宋体" w:hAnsi="宋体"/>
          <w:b/>
          <w:bCs/>
          <w:sz w:val="24"/>
          <w:szCs w:val="24"/>
        </w:rPr>
      </w:pPr>
      <w:r>
        <w:rPr>
          <w:rFonts w:hint="eastAsia" w:ascii="宋体" w:hAnsi="宋体"/>
          <w:b/>
          <w:bCs/>
          <w:sz w:val="24"/>
          <w:szCs w:val="24"/>
        </w:rPr>
        <w:t>资质文件</w:t>
      </w: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须提供营业执照、过往参与相关活动或演出的业绩资料文件。</w:t>
      </w: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投标主体应具有良好的商业信誉，未被法院列为被执行人或失信人名单，无市场监督管理局等国家管理机关的行政处罚或行业处分等类似情形。</w:t>
      </w:r>
    </w:p>
    <w:p/>
    <w:p>
      <w:pPr>
        <w:pStyle w:val="6"/>
        <w:numPr>
          <w:ilvl w:val="0"/>
          <w:numId w:val="1"/>
        </w:numPr>
        <w:spacing w:line="360" w:lineRule="auto"/>
        <w:ind w:firstLineChars="0"/>
        <w:rPr>
          <w:rFonts w:ascii="宋体" w:hAnsi="宋体"/>
          <w:b/>
          <w:bCs/>
          <w:sz w:val="24"/>
          <w:szCs w:val="24"/>
        </w:rPr>
      </w:pPr>
      <w:r>
        <w:rPr>
          <w:rFonts w:hint="eastAsia" w:ascii="宋体" w:hAnsi="宋体"/>
          <w:b/>
          <w:bCs/>
          <w:sz w:val="24"/>
          <w:szCs w:val="24"/>
        </w:rPr>
        <w:t>项目内容</w:t>
      </w:r>
    </w:p>
    <w:p>
      <w:pPr>
        <w:pStyle w:val="6"/>
        <w:numPr>
          <w:ilvl w:val="0"/>
          <w:numId w:val="2"/>
        </w:numPr>
        <w:spacing w:line="360" w:lineRule="auto"/>
        <w:ind w:firstLineChars="0"/>
        <w:rPr>
          <w:rFonts w:ascii="宋体" w:hAnsi="宋体"/>
          <w:sz w:val="24"/>
          <w:szCs w:val="24"/>
        </w:rPr>
      </w:pPr>
      <w:r>
        <w:rPr>
          <w:rFonts w:hint="eastAsia" w:ascii="宋体" w:hAnsi="宋体"/>
          <w:sz w:val="24"/>
          <w:szCs w:val="24"/>
        </w:rPr>
        <w:t>本项目拟为将在沿江路24栋建筑媒体立面</w:t>
      </w:r>
      <w:r>
        <w:rPr>
          <w:rFonts w:hint="eastAsia" w:ascii="宋体" w:hAnsi="宋体"/>
          <w:sz w:val="24"/>
          <w:szCs w:val="24"/>
          <w:lang w:eastAsia="zh-CN"/>
        </w:rPr>
        <w:t>、</w:t>
      </w:r>
      <w:r>
        <w:rPr>
          <w:rFonts w:hint="eastAsia" w:ascii="宋体" w:hAnsi="宋体"/>
          <w:sz w:val="24"/>
          <w:szCs w:val="24"/>
        </w:rPr>
        <w:t>猎德大桥</w:t>
      </w:r>
      <w:r>
        <w:rPr>
          <w:rFonts w:hint="eastAsia" w:ascii="宋体" w:hAnsi="宋体"/>
          <w:sz w:val="24"/>
          <w:szCs w:val="24"/>
          <w:lang w:eastAsia="zh-CN"/>
        </w:rPr>
        <w:t>、</w:t>
      </w:r>
      <w:r>
        <w:rPr>
          <w:rFonts w:hint="eastAsia" w:ascii="宋体" w:hAnsi="宋体"/>
          <w:sz w:val="24"/>
          <w:szCs w:val="24"/>
        </w:rPr>
        <w:t>海心沙亚运公园</w:t>
      </w:r>
      <w:r>
        <w:rPr>
          <w:rFonts w:hint="eastAsia" w:ascii="宋体" w:hAnsi="宋体"/>
          <w:sz w:val="24"/>
          <w:szCs w:val="24"/>
          <w:lang w:eastAsia="zh-CN"/>
        </w:rPr>
        <w:t>、</w:t>
      </w:r>
      <w:r>
        <w:rPr>
          <w:rFonts w:hint="eastAsia" w:ascii="宋体" w:hAnsi="宋体"/>
          <w:sz w:val="24"/>
          <w:szCs w:val="24"/>
        </w:rPr>
        <w:t>广州塔</w:t>
      </w:r>
      <w:r>
        <w:rPr>
          <w:rFonts w:hint="eastAsia" w:ascii="宋体" w:hAnsi="宋体"/>
          <w:sz w:val="24"/>
          <w:szCs w:val="24"/>
          <w:lang w:eastAsia="zh-CN"/>
        </w:rPr>
        <w:t>、花城广场</w:t>
      </w:r>
      <w:r>
        <w:rPr>
          <w:rFonts w:hint="eastAsia" w:ascii="宋体" w:hAnsi="宋体"/>
          <w:sz w:val="24"/>
          <w:szCs w:val="24"/>
          <w:lang w:val="en-US" w:eastAsia="zh-CN"/>
        </w:rPr>
        <w:t>及</w:t>
      </w:r>
      <w:r>
        <w:rPr>
          <w:rFonts w:hint="eastAsia" w:ascii="宋体" w:hAnsi="宋体"/>
          <w:sz w:val="24"/>
          <w:szCs w:val="24"/>
        </w:rPr>
        <w:t>海心桥</w:t>
      </w:r>
      <w:r>
        <w:rPr>
          <w:rFonts w:hint="eastAsia" w:ascii="宋体" w:hAnsi="宋体"/>
          <w:sz w:val="24"/>
          <w:szCs w:val="24"/>
          <w:lang w:val="en-US" w:eastAsia="zh-CN"/>
        </w:rPr>
        <w:t>展出</w:t>
      </w:r>
      <w:r>
        <w:rPr>
          <w:rFonts w:hint="eastAsia" w:ascii="宋体" w:hAnsi="宋体"/>
          <w:sz w:val="24"/>
          <w:szCs w:val="24"/>
        </w:rPr>
        <w:t>的2023年广州国际灯光节整体规划及创作人员</w:t>
      </w:r>
      <w:r>
        <w:rPr>
          <w:rFonts w:hint="eastAsia" w:ascii="宋体" w:hAnsi="宋体"/>
          <w:sz w:val="24"/>
          <w:szCs w:val="24"/>
          <w:lang w:val="en-US" w:eastAsia="zh-CN"/>
        </w:rPr>
        <w:t>配备提供服务</w:t>
      </w:r>
      <w:r>
        <w:rPr>
          <w:rFonts w:hint="eastAsia" w:ascii="宋体" w:hAnsi="宋体"/>
          <w:sz w:val="24"/>
          <w:szCs w:val="24"/>
        </w:rPr>
        <w:t>，</w:t>
      </w:r>
      <w:r>
        <w:rPr>
          <w:rFonts w:hint="eastAsia" w:ascii="宋体" w:hAnsi="宋体"/>
          <w:sz w:val="24"/>
          <w:szCs w:val="24"/>
          <w:lang w:eastAsia="zh-CN"/>
        </w:rPr>
        <w:t>内容如下，</w:t>
      </w:r>
      <w:r>
        <w:rPr>
          <w:rFonts w:hint="eastAsia" w:ascii="宋体" w:hAnsi="宋体"/>
          <w:sz w:val="24"/>
          <w:szCs w:val="24"/>
        </w:rPr>
        <w:t>详见附件一：</w:t>
      </w:r>
    </w:p>
    <w:p>
      <w:pPr>
        <w:numPr>
          <w:ilvl w:val="0"/>
          <w:numId w:val="3"/>
        </w:numPr>
        <w:spacing w:line="360" w:lineRule="auto"/>
        <w:outlineLvl w:val="0"/>
        <w:rPr>
          <w:rFonts w:ascii="宋体" w:hAnsi="宋体"/>
          <w:sz w:val="24"/>
          <w:szCs w:val="24"/>
        </w:rPr>
      </w:pPr>
      <w:r>
        <w:rPr>
          <w:rFonts w:hint="eastAsia" w:ascii="宋体" w:hAnsi="宋体"/>
          <w:sz w:val="24"/>
          <w:szCs w:val="24"/>
        </w:rPr>
        <w:t>前期策划：</w:t>
      </w:r>
    </w:p>
    <w:p>
      <w:pPr>
        <w:numPr>
          <w:ilvl w:val="1"/>
          <w:numId w:val="3"/>
        </w:numPr>
        <w:spacing w:line="360" w:lineRule="auto"/>
        <w:outlineLvl w:val="0"/>
        <w:rPr>
          <w:rFonts w:ascii="宋体" w:hAnsi="宋体"/>
          <w:sz w:val="24"/>
          <w:szCs w:val="24"/>
        </w:rPr>
      </w:pPr>
      <w:r>
        <w:rPr>
          <w:rFonts w:hint="eastAsia" w:ascii="宋体" w:hAnsi="宋体"/>
          <w:sz w:val="24"/>
          <w:szCs w:val="24"/>
        </w:rPr>
        <w:t>投标人在</w:t>
      </w:r>
      <w:r>
        <w:rPr>
          <w:rFonts w:hint="eastAsia" w:ascii="宋体" w:hAnsi="宋体"/>
          <w:sz w:val="24"/>
          <w:szCs w:val="24"/>
          <w:lang w:val="en-US" w:eastAsia="zh-CN"/>
        </w:rPr>
        <w:t>配置服务方案</w:t>
      </w:r>
      <w:r>
        <w:rPr>
          <w:rFonts w:hint="eastAsia" w:ascii="宋体" w:hAnsi="宋体"/>
          <w:sz w:val="24"/>
          <w:szCs w:val="24"/>
        </w:rPr>
        <w:t>的前期阶段，须首先对历届</w:t>
      </w:r>
      <w:r>
        <w:rPr>
          <w:rFonts w:hint="eastAsia" w:ascii="宋体" w:hAnsi="宋体"/>
          <w:sz w:val="24"/>
          <w:szCs w:val="24"/>
          <w:lang w:val="en-US" w:eastAsia="zh-CN"/>
        </w:rPr>
        <w:t>灯光节</w:t>
      </w:r>
      <w:r>
        <w:rPr>
          <w:rFonts w:hint="eastAsia" w:ascii="宋体" w:hAnsi="宋体"/>
          <w:sz w:val="24"/>
          <w:szCs w:val="24"/>
        </w:rPr>
        <w:t>的内容信息进行详细的了解调研，根据</w:t>
      </w:r>
      <w:r>
        <w:rPr>
          <w:rFonts w:hint="eastAsia" w:ascii="宋体" w:hAnsi="宋体"/>
          <w:sz w:val="24"/>
          <w:szCs w:val="24"/>
          <w:lang w:val="en-US" w:eastAsia="zh-CN"/>
        </w:rPr>
        <w:t>灯光节</w:t>
      </w:r>
      <w:r>
        <w:rPr>
          <w:rFonts w:hint="eastAsia" w:ascii="宋体" w:hAnsi="宋体"/>
          <w:sz w:val="24"/>
          <w:szCs w:val="24"/>
        </w:rPr>
        <w:t>的内容特色和采购人的制作需求等相关信息，策划</w:t>
      </w:r>
      <w:r>
        <w:rPr>
          <w:rFonts w:hint="eastAsia" w:ascii="宋体" w:hAnsi="宋体"/>
          <w:sz w:val="24"/>
          <w:szCs w:val="24"/>
          <w:lang w:val="en-US" w:eastAsia="zh-CN"/>
        </w:rPr>
        <w:t>活动</w:t>
      </w:r>
      <w:r>
        <w:rPr>
          <w:rFonts w:hint="eastAsia" w:ascii="宋体" w:hAnsi="宋体"/>
          <w:sz w:val="24"/>
          <w:szCs w:val="24"/>
        </w:rPr>
        <w:t>的</w:t>
      </w:r>
      <w:r>
        <w:rPr>
          <w:rFonts w:hint="eastAsia" w:ascii="宋体" w:hAnsi="宋体"/>
          <w:sz w:val="24"/>
          <w:szCs w:val="24"/>
          <w:lang w:val="en-US" w:eastAsia="zh-CN"/>
        </w:rPr>
        <w:t>服务</w:t>
      </w:r>
      <w:r>
        <w:rPr>
          <w:rFonts w:hint="eastAsia" w:ascii="宋体" w:hAnsi="宋体"/>
          <w:sz w:val="24"/>
          <w:szCs w:val="24"/>
        </w:rPr>
        <w:t>制作内容</w:t>
      </w:r>
      <w:r>
        <w:rPr>
          <w:rFonts w:hint="eastAsia" w:ascii="宋体" w:hAnsi="宋体"/>
          <w:sz w:val="24"/>
          <w:szCs w:val="24"/>
          <w:lang w:val="en-US" w:eastAsia="zh-CN"/>
        </w:rPr>
        <w:t>并</w:t>
      </w:r>
      <w:r>
        <w:rPr>
          <w:rFonts w:hint="eastAsia" w:ascii="宋体" w:hAnsi="宋体"/>
          <w:sz w:val="24"/>
          <w:szCs w:val="24"/>
        </w:rPr>
        <w:t>编写</w:t>
      </w:r>
      <w:r>
        <w:rPr>
          <w:rFonts w:hint="eastAsia" w:ascii="宋体" w:hAnsi="宋体"/>
          <w:sz w:val="24"/>
          <w:szCs w:val="24"/>
          <w:lang w:val="en-US" w:eastAsia="zh-CN"/>
        </w:rPr>
        <w:t>人员服务</w:t>
      </w:r>
      <w:r>
        <w:rPr>
          <w:rFonts w:hint="eastAsia" w:ascii="宋体" w:hAnsi="宋体"/>
          <w:sz w:val="24"/>
          <w:szCs w:val="24"/>
        </w:rPr>
        <w:t>方案。</w:t>
      </w:r>
    </w:p>
    <w:p>
      <w:pPr>
        <w:numPr>
          <w:ilvl w:val="1"/>
          <w:numId w:val="3"/>
        </w:numPr>
        <w:spacing w:line="360" w:lineRule="auto"/>
        <w:outlineLvl w:val="0"/>
        <w:rPr>
          <w:rFonts w:ascii="宋体" w:hAnsi="宋体"/>
          <w:sz w:val="24"/>
          <w:szCs w:val="24"/>
        </w:rPr>
      </w:pPr>
      <w:r>
        <w:rPr>
          <w:rFonts w:hint="eastAsia" w:ascii="宋体" w:hAnsi="宋体"/>
          <w:sz w:val="24"/>
          <w:szCs w:val="24"/>
          <w:lang w:val="en-US" w:eastAsia="zh-CN"/>
        </w:rPr>
        <w:t>现场服务方案</w:t>
      </w:r>
      <w:r>
        <w:rPr>
          <w:rFonts w:hint="eastAsia" w:ascii="宋体" w:hAnsi="宋体"/>
          <w:sz w:val="24"/>
          <w:szCs w:val="24"/>
        </w:rPr>
        <w:t>包括策划的文案和</w:t>
      </w:r>
      <w:r>
        <w:rPr>
          <w:rFonts w:hint="eastAsia" w:ascii="宋体" w:hAnsi="宋体"/>
          <w:sz w:val="24"/>
          <w:szCs w:val="24"/>
          <w:lang w:val="en-US" w:eastAsia="zh-CN"/>
        </w:rPr>
        <w:t>服务方案</w:t>
      </w:r>
      <w:r>
        <w:rPr>
          <w:rFonts w:hint="eastAsia" w:ascii="宋体" w:hAnsi="宋体"/>
          <w:sz w:val="24"/>
          <w:szCs w:val="24"/>
        </w:rPr>
        <w:t>，所需的人员须具备的相关条件，以及</w:t>
      </w:r>
      <w:r>
        <w:rPr>
          <w:rFonts w:hint="eastAsia" w:ascii="宋体" w:hAnsi="宋体"/>
          <w:sz w:val="24"/>
          <w:szCs w:val="24"/>
          <w:lang w:val="en-US" w:eastAsia="zh-CN"/>
        </w:rPr>
        <w:t>项目</w:t>
      </w:r>
      <w:r>
        <w:rPr>
          <w:rFonts w:hint="eastAsia" w:ascii="宋体" w:hAnsi="宋体"/>
          <w:sz w:val="24"/>
          <w:szCs w:val="24"/>
        </w:rPr>
        <w:t>制作完成的时间节点。</w:t>
      </w:r>
    </w:p>
    <w:p>
      <w:pPr>
        <w:numPr>
          <w:ilvl w:val="1"/>
          <w:numId w:val="3"/>
        </w:numPr>
        <w:spacing w:line="360" w:lineRule="auto"/>
        <w:outlineLvl w:val="0"/>
        <w:rPr>
          <w:rFonts w:ascii="宋体" w:hAnsi="宋体"/>
          <w:sz w:val="24"/>
          <w:szCs w:val="24"/>
        </w:rPr>
      </w:pPr>
      <w:r>
        <w:rPr>
          <w:rFonts w:hint="eastAsia" w:ascii="宋体" w:hAnsi="宋体"/>
          <w:sz w:val="24"/>
          <w:szCs w:val="24"/>
        </w:rPr>
        <w:t>中标人可提供</w:t>
      </w:r>
      <w:r>
        <w:rPr>
          <w:rFonts w:hint="eastAsia" w:ascii="宋体" w:hAnsi="宋体"/>
          <w:sz w:val="24"/>
          <w:szCs w:val="24"/>
          <w:lang w:val="en-US" w:eastAsia="zh-CN"/>
        </w:rPr>
        <w:t>服务方案</w:t>
      </w:r>
      <w:r>
        <w:rPr>
          <w:rFonts w:hint="eastAsia" w:ascii="宋体" w:hAnsi="宋体"/>
          <w:sz w:val="24"/>
          <w:szCs w:val="24"/>
        </w:rPr>
        <w:t>供采购人审核，收集相关的修改意见。</w:t>
      </w:r>
    </w:p>
    <w:p>
      <w:pPr>
        <w:numPr>
          <w:ilvl w:val="0"/>
          <w:numId w:val="3"/>
        </w:numPr>
        <w:spacing w:line="360" w:lineRule="auto"/>
        <w:outlineLvl w:val="0"/>
        <w:rPr>
          <w:rFonts w:hint="eastAsia" w:ascii="宋体" w:hAnsi="宋体"/>
          <w:sz w:val="24"/>
          <w:szCs w:val="24"/>
        </w:rPr>
      </w:pPr>
      <w:r>
        <w:rPr>
          <w:rFonts w:hint="eastAsia" w:ascii="宋体" w:hAnsi="宋体"/>
          <w:sz w:val="24"/>
          <w:szCs w:val="24"/>
          <w:lang w:val="en-US" w:eastAsia="zh-CN"/>
        </w:rPr>
        <w:t>服务</w:t>
      </w:r>
      <w:r>
        <w:rPr>
          <w:rFonts w:hint="eastAsia" w:ascii="宋体" w:hAnsi="宋体"/>
          <w:sz w:val="24"/>
          <w:szCs w:val="24"/>
        </w:rPr>
        <w:t>阶段：</w:t>
      </w:r>
    </w:p>
    <w:p>
      <w:pPr>
        <w:numPr>
          <w:ilvl w:val="1"/>
          <w:numId w:val="3"/>
        </w:numPr>
        <w:spacing w:line="360" w:lineRule="auto"/>
        <w:outlineLvl w:val="0"/>
        <w:rPr>
          <w:rFonts w:ascii="宋体" w:hAnsi="宋体"/>
          <w:sz w:val="24"/>
          <w:szCs w:val="24"/>
        </w:rPr>
      </w:pPr>
      <w:r>
        <w:rPr>
          <w:rFonts w:hint="eastAsia" w:ascii="宋体" w:hAnsi="宋体"/>
          <w:sz w:val="24"/>
          <w:szCs w:val="24"/>
          <w:lang w:val="en-US" w:eastAsia="zh-CN"/>
        </w:rPr>
        <w:t>经过</w:t>
      </w:r>
      <w:r>
        <w:rPr>
          <w:rFonts w:hint="eastAsia" w:ascii="宋体" w:hAnsi="宋体"/>
          <w:sz w:val="24"/>
          <w:szCs w:val="24"/>
        </w:rPr>
        <w:t>收集采购人需求、</w:t>
      </w:r>
      <w:r>
        <w:rPr>
          <w:rFonts w:hint="eastAsia" w:ascii="宋体" w:hAnsi="宋体"/>
          <w:sz w:val="24"/>
          <w:szCs w:val="24"/>
          <w:lang w:val="en-US" w:eastAsia="zh-CN"/>
        </w:rPr>
        <w:t>灯光节</w:t>
      </w:r>
      <w:r>
        <w:rPr>
          <w:rFonts w:hint="eastAsia" w:ascii="宋体" w:hAnsi="宋体"/>
          <w:sz w:val="24"/>
          <w:szCs w:val="24"/>
        </w:rPr>
        <w:t>的内容等相关信息，中标人根据</w:t>
      </w:r>
      <w:r>
        <w:rPr>
          <w:rFonts w:hint="eastAsia" w:ascii="宋体" w:hAnsi="宋体"/>
          <w:sz w:val="24"/>
          <w:szCs w:val="24"/>
          <w:lang w:val="en-US" w:eastAsia="zh-CN"/>
        </w:rPr>
        <w:t>现场服务方案服从于采购人的</w:t>
      </w:r>
      <w:r>
        <w:rPr>
          <w:rFonts w:hint="eastAsia" w:ascii="宋体" w:hAnsi="宋体"/>
          <w:sz w:val="24"/>
          <w:szCs w:val="24"/>
        </w:rPr>
        <w:t>活动场地安排</w:t>
      </w:r>
      <w:r>
        <w:rPr>
          <w:rFonts w:hint="eastAsia" w:ascii="宋体" w:hAnsi="宋体"/>
          <w:sz w:val="24"/>
          <w:szCs w:val="24"/>
          <w:lang w:val="en-US" w:eastAsia="zh-CN"/>
        </w:rPr>
        <w:t>及安全问题</w:t>
      </w:r>
      <w:r>
        <w:rPr>
          <w:rFonts w:hint="eastAsia" w:ascii="宋体" w:hAnsi="宋体"/>
          <w:sz w:val="24"/>
          <w:szCs w:val="24"/>
        </w:rPr>
        <w:t>，工作人员须听从</w:t>
      </w:r>
      <w:r>
        <w:rPr>
          <w:rFonts w:hint="eastAsia" w:ascii="宋体" w:hAnsi="宋体"/>
          <w:sz w:val="24"/>
          <w:szCs w:val="24"/>
          <w:lang w:val="en-US" w:eastAsia="zh-CN"/>
        </w:rPr>
        <w:t>采购人</w:t>
      </w:r>
      <w:r>
        <w:rPr>
          <w:rFonts w:hint="eastAsia" w:ascii="宋体" w:hAnsi="宋体"/>
          <w:sz w:val="24"/>
          <w:szCs w:val="24"/>
        </w:rPr>
        <w:t>指派工作人员的现场指挥。</w:t>
      </w:r>
    </w:p>
    <w:p>
      <w:pPr>
        <w:numPr>
          <w:ilvl w:val="1"/>
          <w:numId w:val="3"/>
        </w:numPr>
        <w:spacing w:line="360" w:lineRule="auto"/>
        <w:outlineLvl w:val="0"/>
        <w:rPr>
          <w:rFonts w:ascii="宋体" w:hAnsi="宋体"/>
          <w:sz w:val="24"/>
          <w:szCs w:val="24"/>
        </w:rPr>
      </w:pPr>
      <w:r>
        <w:rPr>
          <w:rFonts w:hint="eastAsia" w:ascii="宋体" w:hAnsi="宋体"/>
          <w:sz w:val="24"/>
          <w:szCs w:val="24"/>
        </w:rPr>
        <w:t>中标人须根据</w:t>
      </w:r>
      <w:r>
        <w:rPr>
          <w:rFonts w:hint="eastAsia" w:ascii="宋体" w:hAnsi="宋体"/>
          <w:sz w:val="24"/>
          <w:szCs w:val="24"/>
          <w:lang w:val="en-US" w:eastAsia="zh-CN"/>
        </w:rPr>
        <w:t>现场</w:t>
      </w:r>
      <w:r>
        <w:rPr>
          <w:rFonts w:hint="eastAsia" w:ascii="宋体" w:hAnsi="宋体"/>
          <w:sz w:val="24"/>
          <w:szCs w:val="24"/>
        </w:rPr>
        <w:t>的具体实际情况和要求、</w:t>
      </w:r>
      <w:r>
        <w:rPr>
          <w:rFonts w:hint="eastAsia" w:ascii="宋体" w:hAnsi="宋体"/>
          <w:sz w:val="24"/>
          <w:szCs w:val="24"/>
          <w:lang w:val="en-US" w:eastAsia="zh-CN"/>
        </w:rPr>
        <w:t>服务</w:t>
      </w:r>
      <w:r>
        <w:rPr>
          <w:rFonts w:hint="eastAsia" w:ascii="宋体" w:hAnsi="宋体"/>
          <w:sz w:val="24"/>
          <w:szCs w:val="24"/>
        </w:rPr>
        <w:t>过程的修改意见等相关内容开展</w:t>
      </w:r>
      <w:r>
        <w:rPr>
          <w:rFonts w:hint="eastAsia" w:ascii="宋体" w:hAnsi="宋体"/>
          <w:sz w:val="24"/>
          <w:szCs w:val="24"/>
          <w:lang w:val="en-US" w:eastAsia="zh-CN"/>
        </w:rPr>
        <w:t>人员配备服务方案</w:t>
      </w:r>
      <w:r>
        <w:rPr>
          <w:rFonts w:hint="eastAsia" w:ascii="宋体" w:hAnsi="宋体"/>
          <w:sz w:val="24"/>
          <w:szCs w:val="24"/>
        </w:rPr>
        <w:t>。</w:t>
      </w:r>
    </w:p>
    <w:p>
      <w:pPr>
        <w:numPr>
          <w:ilvl w:val="0"/>
          <w:numId w:val="0"/>
        </w:numPr>
        <w:spacing w:line="360" w:lineRule="auto"/>
        <w:ind w:left="425" w:leftChars="0"/>
        <w:outlineLvl w:val="0"/>
        <w:rPr>
          <w:rFonts w:ascii="宋体" w:hAnsi="宋体"/>
          <w:sz w:val="24"/>
          <w:szCs w:val="24"/>
        </w:rPr>
      </w:pPr>
    </w:p>
    <w:p>
      <w:pPr>
        <w:pStyle w:val="6"/>
        <w:numPr>
          <w:ilvl w:val="0"/>
          <w:numId w:val="1"/>
        </w:numPr>
        <w:spacing w:line="360" w:lineRule="auto"/>
        <w:ind w:firstLineChars="0"/>
        <w:rPr>
          <w:rFonts w:ascii="宋体" w:hAnsi="宋体"/>
          <w:b/>
          <w:bCs/>
          <w:sz w:val="24"/>
          <w:szCs w:val="24"/>
        </w:rPr>
      </w:pPr>
      <w:r>
        <w:rPr>
          <w:rFonts w:hint="eastAsia" w:ascii="宋体" w:hAnsi="宋体"/>
          <w:b/>
          <w:bCs/>
          <w:sz w:val="24"/>
          <w:szCs w:val="24"/>
        </w:rPr>
        <w:t>项目要求</w:t>
      </w:r>
    </w:p>
    <w:p>
      <w:pPr>
        <w:pStyle w:val="6"/>
        <w:numPr>
          <w:ilvl w:val="0"/>
          <w:numId w:val="4"/>
        </w:numPr>
        <w:spacing w:line="360" w:lineRule="auto"/>
        <w:ind w:left="851" w:firstLineChars="0"/>
        <w:rPr>
          <w:rFonts w:hint="eastAsia" w:ascii="宋体" w:hAnsi="宋体"/>
          <w:sz w:val="24"/>
          <w:szCs w:val="24"/>
        </w:rPr>
      </w:pPr>
      <w:r>
        <w:rPr>
          <w:rFonts w:hint="eastAsia" w:ascii="宋体" w:hAnsi="宋体"/>
          <w:sz w:val="24"/>
          <w:szCs w:val="24"/>
        </w:rPr>
        <w:t>甲方有义务按上述议定事项履行自己所承担的经济责任与其它保证条件。 </w:t>
      </w:r>
    </w:p>
    <w:p>
      <w:pPr>
        <w:pStyle w:val="6"/>
        <w:numPr>
          <w:ilvl w:val="0"/>
          <w:numId w:val="4"/>
        </w:numPr>
        <w:spacing w:line="360" w:lineRule="auto"/>
        <w:ind w:left="851" w:firstLineChars="0"/>
        <w:rPr>
          <w:rFonts w:hint="eastAsia" w:ascii="宋体" w:hAnsi="宋体"/>
          <w:sz w:val="24"/>
          <w:szCs w:val="24"/>
        </w:rPr>
      </w:pPr>
      <w:r>
        <w:rPr>
          <w:rFonts w:hint="eastAsia" w:ascii="宋体" w:hAnsi="宋体"/>
          <w:sz w:val="24"/>
          <w:szCs w:val="24"/>
        </w:rPr>
        <w:t>活动场地安排及安全由甲方负责，</w:t>
      </w:r>
      <w:r>
        <w:rPr>
          <w:rFonts w:hint="eastAsia" w:ascii="宋体" w:hAnsi="宋体"/>
          <w:sz w:val="24"/>
          <w:szCs w:val="24"/>
          <w:lang w:val="en-US" w:eastAsia="zh-CN"/>
        </w:rPr>
        <w:t>服务</w:t>
      </w:r>
      <w:r>
        <w:rPr>
          <w:rFonts w:hint="eastAsia" w:ascii="宋体" w:hAnsi="宋体"/>
          <w:sz w:val="24"/>
          <w:szCs w:val="24"/>
        </w:rPr>
        <w:t>工作人员须听从甲方指派工作人员的现场指挥。 </w:t>
      </w:r>
    </w:p>
    <w:p>
      <w:pPr>
        <w:pStyle w:val="6"/>
        <w:numPr>
          <w:ilvl w:val="0"/>
          <w:numId w:val="4"/>
        </w:numPr>
        <w:spacing w:line="360" w:lineRule="auto"/>
        <w:ind w:left="851" w:firstLineChars="0"/>
        <w:rPr>
          <w:rFonts w:hint="eastAsia" w:ascii="宋体" w:hAnsi="宋体"/>
          <w:sz w:val="24"/>
          <w:szCs w:val="24"/>
        </w:rPr>
      </w:pPr>
      <w:r>
        <w:rPr>
          <w:rFonts w:hint="eastAsia" w:ascii="宋体" w:hAnsi="宋体"/>
          <w:sz w:val="24"/>
          <w:szCs w:val="24"/>
        </w:rPr>
        <w:t>乙方有义务按双方议定的条款完成工作内容，并严格听从甲方安排。</w:t>
      </w:r>
    </w:p>
    <w:p>
      <w:pPr>
        <w:pStyle w:val="6"/>
        <w:numPr>
          <w:ilvl w:val="0"/>
          <w:numId w:val="4"/>
        </w:numPr>
        <w:spacing w:line="360" w:lineRule="auto"/>
        <w:ind w:left="851" w:firstLineChars="0"/>
        <w:rPr>
          <w:rFonts w:ascii="宋体" w:hAnsi="宋体"/>
          <w:sz w:val="24"/>
          <w:szCs w:val="24"/>
        </w:rPr>
      </w:pPr>
      <w:r>
        <w:rPr>
          <w:rFonts w:hint="eastAsia" w:ascii="宋体" w:hAnsi="宋体"/>
          <w:sz w:val="24"/>
          <w:szCs w:val="24"/>
        </w:rPr>
        <w:t>协力与灯光节</w:t>
      </w:r>
      <w:r>
        <w:rPr>
          <w:rFonts w:hint="eastAsia" w:ascii="宋体" w:hAnsi="宋体"/>
          <w:sz w:val="24"/>
          <w:szCs w:val="24"/>
          <w:lang w:eastAsia="zh-CN"/>
        </w:rPr>
        <w:t>甲方人员及</w:t>
      </w:r>
      <w:r>
        <w:rPr>
          <w:rFonts w:hint="eastAsia" w:ascii="宋体" w:hAnsi="宋体"/>
          <w:sz w:val="24"/>
          <w:szCs w:val="24"/>
        </w:rPr>
        <w:t>相关作品的主创人员就本项目有关的工作内容及进度保持良好沟通，以求获得更高质量的作品成果；</w:t>
      </w:r>
    </w:p>
    <w:p>
      <w:pPr>
        <w:pStyle w:val="6"/>
        <w:numPr>
          <w:ilvl w:val="0"/>
          <w:numId w:val="4"/>
        </w:numPr>
        <w:spacing w:line="360" w:lineRule="auto"/>
        <w:ind w:left="851" w:firstLineChars="0"/>
        <w:rPr>
          <w:rFonts w:ascii="宋体" w:hAnsi="宋体"/>
          <w:sz w:val="24"/>
          <w:szCs w:val="24"/>
        </w:rPr>
      </w:pPr>
      <w:r>
        <w:rPr>
          <w:rFonts w:hint="eastAsia" w:ascii="宋体" w:hAnsi="宋体"/>
          <w:sz w:val="24"/>
          <w:szCs w:val="24"/>
        </w:rPr>
        <w:t>供应商应在活动开始前，提前做好安全工作预案和紧急救援预案，确保活动安全，确保工作人员配合采购人正式演出顺利进行；</w:t>
      </w:r>
    </w:p>
    <w:p>
      <w:pPr>
        <w:pStyle w:val="6"/>
        <w:numPr>
          <w:ilvl w:val="0"/>
          <w:numId w:val="4"/>
        </w:numPr>
        <w:spacing w:line="360" w:lineRule="auto"/>
        <w:ind w:left="851" w:firstLineChars="0"/>
        <w:rPr>
          <w:rFonts w:ascii="宋体" w:hAnsi="宋体"/>
          <w:sz w:val="24"/>
          <w:szCs w:val="24"/>
        </w:rPr>
      </w:pPr>
      <w:r>
        <w:rPr>
          <w:rFonts w:hint="eastAsia" w:ascii="宋体" w:hAnsi="宋体"/>
          <w:sz w:val="24"/>
          <w:szCs w:val="24"/>
        </w:rPr>
        <w:t>届时采购人需要进行异地巡演本项目的灯光作品时，供应商需配合采购人提供作品制作服务，产生的费用由双方的补充协议约定或另行约定。</w:t>
      </w:r>
    </w:p>
    <w:p>
      <w:pPr>
        <w:pStyle w:val="6"/>
        <w:numPr>
          <w:ilvl w:val="0"/>
          <w:numId w:val="4"/>
        </w:numPr>
        <w:spacing w:line="360" w:lineRule="auto"/>
        <w:ind w:left="851" w:firstLineChars="0"/>
        <w:rPr>
          <w:rFonts w:ascii="宋体" w:hAnsi="宋体"/>
          <w:sz w:val="24"/>
          <w:szCs w:val="24"/>
        </w:rPr>
      </w:pPr>
      <w:r>
        <w:rPr>
          <w:rFonts w:hint="eastAsia" w:ascii="宋体" w:hAnsi="宋体"/>
          <w:sz w:val="24"/>
          <w:szCs w:val="24"/>
        </w:rPr>
        <w:t>注释为商业秘密的资料履行保密义务，未经采购人同意不向任何第三方泄露。</w:t>
      </w:r>
    </w:p>
    <w:p>
      <w:pPr>
        <w:pStyle w:val="6"/>
        <w:spacing w:line="360" w:lineRule="auto"/>
        <w:ind w:left="440" w:firstLine="0" w:firstLineChars="0"/>
        <w:rPr>
          <w:rFonts w:ascii="宋体" w:hAnsi="宋体"/>
          <w:b/>
          <w:bCs/>
          <w:sz w:val="24"/>
          <w:szCs w:val="24"/>
        </w:rPr>
      </w:pPr>
    </w:p>
    <w:p>
      <w:pPr>
        <w:pStyle w:val="6"/>
        <w:numPr>
          <w:ilvl w:val="0"/>
          <w:numId w:val="1"/>
        </w:numPr>
        <w:spacing w:line="360" w:lineRule="auto"/>
        <w:ind w:firstLineChars="0"/>
        <w:rPr>
          <w:rFonts w:ascii="宋体" w:hAnsi="宋体"/>
          <w:b/>
          <w:bCs/>
          <w:sz w:val="24"/>
          <w:szCs w:val="24"/>
        </w:rPr>
      </w:pPr>
      <w:r>
        <w:rPr>
          <w:rFonts w:hint="eastAsia" w:ascii="宋体" w:hAnsi="宋体"/>
          <w:b/>
          <w:bCs/>
          <w:sz w:val="24"/>
          <w:szCs w:val="24"/>
        </w:rPr>
        <w:t>商务要求</w:t>
      </w:r>
    </w:p>
    <w:p>
      <w:pPr>
        <w:numPr>
          <w:ilvl w:val="0"/>
          <w:numId w:val="5"/>
        </w:numPr>
        <w:spacing w:line="360" w:lineRule="auto"/>
        <w:outlineLvl w:val="0"/>
        <w:rPr>
          <w:rFonts w:ascii="宋体" w:hAnsi="宋体"/>
          <w:sz w:val="24"/>
          <w:szCs w:val="24"/>
        </w:rPr>
      </w:pPr>
      <w:r>
        <w:rPr>
          <w:rFonts w:hint="eastAsia" w:ascii="宋体" w:hAnsi="宋体"/>
          <w:sz w:val="24"/>
          <w:szCs w:val="24"/>
        </w:rPr>
        <w:t>报价文件需要考虑单价为完全包干综合单价，该综合单价应包括但不限于</w:t>
      </w:r>
      <w:r>
        <w:rPr>
          <w:rFonts w:hint="eastAsia" w:ascii="宋体" w:hAnsi="宋体"/>
          <w:sz w:val="24"/>
          <w:szCs w:val="24"/>
          <w:lang w:val="en-US" w:eastAsia="zh-CN"/>
        </w:rPr>
        <w:t>人员的</w:t>
      </w:r>
      <w:r>
        <w:rPr>
          <w:rFonts w:hint="eastAsia" w:ascii="宋体" w:hAnsi="宋体"/>
          <w:sz w:val="24"/>
          <w:szCs w:val="24"/>
        </w:rPr>
        <w:t>制作统筹、项目调研、</w:t>
      </w:r>
      <w:r>
        <w:rPr>
          <w:rFonts w:hint="eastAsia" w:ascii="宋体" w:hAnsi="宋体"/>
          <w:sz w:val="24"/>
          <w:szCs w:val="24"/>
          <w:lang w:val="en-US" w:eastAsia="zh-CN"/>
        </w:rPr>
        <w:t>方</w:t>
      </w:r>
      <w:r>
        <w:rPr>
          <w:rFonts w:hint="eastAsia" w:ascii="宋体" w:hAnsi="宋体"/>
          <w:sz w:val="24"/>
          <w:szCs w:val="24"/>
        </w:rPr>
        <w:t>案、拍摄、灯光、器材、剪辑、包装、</w:t>
      </w:r>
      <w:r>
        <w:rPr>
          <w:rFonts w:hint="eastAsia" w:ascii="宋体" w:hAnsi="宋体"/>
          <w:sz w:val="24"/>
          <w:szCs w:val="24"/>
          <w:lang w:val="en-US" w:eastAsia="zh-CN"/>
        </w:rPr>
        <w:t>制作、</w:t>
      </w:r>
      <w:r>
        <w:rPr>
          <w:rFonts w:hint="eastAsia" w:ascii="宋体" w:hAnsi="宋体"/>
          <w:sz w:val="24"/>
          <w:szCs w:val="24"/>
        </w:rPr>
        <w:t>调色、混音、配音、版权音乐、利润、税金、政策性文件规定的各项应有费用及合同明示或暗示的所有一切风险、责任和义务的费用及其他为完成本合同工作所需的一切费用。不论报价书中的项目特征是否描述完全，都将被认为已包括实施对应项目所有工作内容及完成此工作内容而必须的各种辅助工作的费用。</w:t>
      </w:r>
    </w:p>
    <w:p>
      <w:pPr>
        <w:numPr>
          <w:ilvl w:val="0"/>
          <w:numId w:val="5"/>
        </w:numPr>
        <w:spacing w:line="360" w:lineRule="auto"/>
        <w:outlineLvl w:val="0"/>
        <w:rPr>
          <w:rFonts w:ascii="宋体" w:hAnsi="宋体"/>
          <w:sz w:val="24"/>
          <w:szCs w:val="24"/>
        </w:rPr>
      </w:pPr>
      <w:r>
        <w:rPr>
          <w:rFonts w:hint="eastAsia" w:ascii="宋体" w:hAnsi="宋体"/>
          <w:sz w:val="24"/>
          <w:szCs w:val="24"/>
        </w:rPr>
        <w:t>要求响应供应商自行对</w:t>
      </w:r>
      <w:r>
        <w:rPr>
          <w:rFonts w:hint="eastAsia" w:ascii="宋体" w:hAnsi="宋体"/>
          <w:sz w:val="24"/>
          <w:szCs w:val="24"/>
          <w:lang w:val="en-US" w:eastAsia="zh-CN"/>
        </w:rPr>
        <w:t>灯光节</w:t>
      </w:r>
      <w:r>
        <w:rPr>
          <w:rFonts w:hint="eastAsia" w:ascii="宋体" w:hAnsi="宋体"/>
          <w:sz w:val="24"/>
          <w:szCs w:val="24"/>
        </w:rPr>
        <w:t>的内容信息进行深入了解和调研并提供深化的</w:t>
      </w:r>
      <w:r>
        <w:rPr>
          <w:rFonts w:hint="eastAsia" w:ascii="宋体" w:hAnsi="宋体"/>
          <w:sz w:val="24"/>
          <w:szCs w:val="24"/>
          <w:lang w:val="en-US" w:eastAsia="zh-CN"/>
        </w:rPr>
        <w:t>人员配备服务方案</w:t>
      </w:r>
      <w:r>
        <w:rPr>
          <w:rFonts w:hint="eastAsia" w:ascii="宋体" w:hAnsi="宋体"/>
          <w:sz w:val="24"/>
          <w:szCs w:val="24"/>
        </w:rPr>
        <w:t>。</w:t>
      </w:r>
    </w:p>
    <w:p>
      <w:pPr>
        <w:numPr>
          <w:ilvl w:val="0"/>
          <w:numId w:val="5"/>
        </w:numPr>
        <w:spacing w:line="360" w:lineRule="auto"/>
        <w:outlineLvl w:val="0"/>
        <w:rPr>
          <w:rFonts w:ascii="宋体" w:hAnsi="宋体"/>
          <w:sz w:val="24"/>
          <w:szCs w:val="24"/>
        </w:rPr>
      </w:pPr>
      <w:r>
        <w:rPr>
          <w:rFonts w:hint="eastAsia" w:ascii="宋体" w:hAnsi="宋体"/>
          <w:sz w:val="24"/>
          <w:szCs w:val="24"/>
        </w:rPr>
        <w:t>本次评选中标单位使用合理低价法。</w:t>
      </w:r>
    </w:p>
    <w:p>
      <w:pPr>
        <w:numPr>
          <w:ilvl w:val="0"/>
          <w:numId w:val="5"/>
        </w:numPr>
        <w:spacing w:line="360" w:lineRule="auto"/>
        <w:outlineLvl w:val="0"/>
        <w:rPr>
          <w:rFonts w:ascii="宋体" w:hAnsi="宋体"/>
          <w:sz w:val="24"/>
          <w:szCs w:val="24"/>
        </w:rPr>
      </w:pPr>
      <w:r>
        <w:rPr>
          <w:rFonts w:hint="eastAsia" w:ascii="宋体" w:hAnsi="宋体"/>
          <w:sz w:val="24"/>
          <w:szCs w:val="24"/>
        </w:rPr>
        <w:t>中标单位需要签订制作服务合同。</w:t>
      </w: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本次评选入选单位为合理低价法。</w:t>
      </w: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未评选上的施工单位业主方不出具答疑文件。</w:t>
      </w: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中标人需要和采购人签订项目制作合同及安全管理协议。</w:t>
      </w:r>
    </w:p>
    <w:p>
      <w:pPr>
        <w:spacing w:line="360" w:lineRule="auto"/>
        <w:rPr>
          <w:rFonts w:ascii="宋体" w:hAnsi="宋体"/>
          <w:sz w:val="24"/>
          <w:szCs w:val="24"/>
        </w:rPr>
      </w:pPr>
    </w:p>
    <w:p>
      <w:pPr>
        <w:pStyle w:val="6"/>
        <w:numPr>
          <w:ilvl w:val="0"/>
          <w:numId w:val="1"/>
        </w:numPr>
        <w:spacing w:line="360" w:lineRule="auto"/>
        <w:ind w:firstLineChars="0"/>
        <w:rPr>
          <w:rFonts w:ascii="宋体" w:hAnsi="宋体"/>
          <w:b/>
          <w:bCs/>
          <w:sz w:val="24"/>
          <w:szCs w:val="24"/>
        </w:rPr>
      </w:pPr>
      <w:r>
        <w:rPr>
          <w:rFonts w:hint="eastAsia" w:ascii="宋体" w:hAnsi="宋体"/>
          <w:b/>
          <w:bCs/>
          <w:sz w:val="24"/>
          <w:szCs w:val="24"/>
        </w:rPr>
        <w:t>付款方式</w:t>
      </w:r>
    </w:p>
    <w:p>
      <w:pPr>
        <w:pStyle w:val="6"/>
        <w:numPr>
          <w:ilvl w:val="1"/>
          <w:numId w:val="1"/>
        </w:numPr>
        <w:spacing w:line="360" w:lineRule="auto"/>
        <w:ind w:firstLineChars="0"/>
        <w:rPr>
          <w:rFonts w:ascii="宋体" w:hAnsi="宋体"/>
          <w:b/>
          <w:bCs/>
          <w:sz w:val="24"/>
          <w:szCs w:val="24"/>
        </w:rPr>
      </w:pPr>
      <w:r>
        <w:rPr>
          <w:rFonts w:hint="eastAsia" w:ascii="宋体" w:hAnsi="宋体"/>
          <w:sz w:val="24"/>
          <w:szCs w:val="24"/>
        </w:rPr>
        <w:t>项目合同签订后，采购人在5个工作天内向中标人支付合同总价的</w:t>
      </w:r>
      <w:r>
        <w:rPr>
          <w:rFonts w:ascii="宋体" w:hAnsi="宋体"/>
          <w:sz w:val="24"/>
          <w:szCs w:val="24"/>
        </w:rPr>
        <w:t>5</w:t>
      </w:r>
      <w:r>
        <w:rPr>
          <w:rFonts w:hint="eastAsia" w:ascii="宋体" w:hAnsi="宋体"/>
          <w:sz w:val="24"/>
          <w:szCs w:val="24"/>
        </w:rPr>
        <w:t>0%。</w:t>
      </w: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在开幕式前3个工作日内，本项目的相关装置、设备已完成制作和安装调试，采购人向中标人支付合同总价的3</w:t>
      </w:r>
      <w:r>
        <w:rPr>
          <w:rFonts w:ascii="宋体" w:hAnsi="宋体"/>
          <w:sz w:val="24"/>
          <w:szCs w:val="24"/>
        </w:rPr>
        <w:t>0%</w:t>
      </w:r>
      <w:r>
        <w:rPr>
          <w:rFonts w:hint="eastAsia" w:ascii="宋体" w:hAnsi="宋体"/>
          <w:sz w:val="24"/>
          <w:szCs w:val="24"/>
        </w:rPr>
        <w:t>。</w:t>
      </w:r>
    </w:p>
    <w:p>
      <w:pPr>
        <w:pStyle w:val="6"/>
        <w:numPr>
          <w:ilvl w:val="1"/>
          <w:numId w:val="1"/>
        </w:numPr>
        <w:spacing w:line="360" w:lineRule="auto"/>
        <w:ind w:firstLineChars="0"/>
        <w:rPr>
          <w:rFonts w:ascii="宋体" w:hAnsi="宋体"/>
          <w:b/>
          <w:bCs/>
          <w:sz w:val="24"/>
          <w:szCs w:val="24"/>
        </w:rPr>
      </w:pPr>
      <w:r>
        <w:rPr>
          <w:rFonts w:hint="eastAsia" w:ascii="宋体" w:hAnsi="宋体"/>
          <w:sz w:val="24"/>
          <w:szCs w:val="24"/>
        </w:rPr>
        <w:t>在开幕式结束后7日内，采购人向中标人支付合同总价的</w:t>
      </w:r>
      <w:r>
        <w:rPr>
          <w:rFonts w:ascii="宋体" w:hAnsi="宋体"/>
          <w:sz w:val="24"/>
          <w:szCs w:val="24"/>
        </w:rPr>
        <w:t>20%</w:t>
      </w:r>
      <w:r>
        <w:rPr>
          <w:rFonts w:hint="eastAsia" w:ascii="宋体" w:hAnsi="宋体"/>
          <w:sz w:val="24"/>
          <w:szCs w:val="24"/>
        </w:rPr>
        <w:t>。</w:t>
      </w:r>
    </w:p>
    <w:p>
      <w:pPr>
        <w:pStyle w:val="6"/>
        <w:numPr>
          <w:ilvl w:val="1"/>
          <w:numId w:val="1"/>
        </w:numPr>
        <w:spacing w:line="360" w:lineRule="auto"/>
        <w:ind w:firstLineChars="0"/>
        <w:rPr>
          <w:rFonts w:ascii="宋体" w:hAnsi="宋体"/>
          <w:b/>
          <w:bCs/>
          <w:sz w:val="24"/>
          <w:szCs w:val="24"/>
        </w:rPr>
      </w:pPr>
      <w:r>
        <w:rPr>
          <w:rFonts w:hint="eastAsia" w:ascii="宋体" w:hAnsi="宋体"/>
          <w:sz w:val="24"/>
          <w:szCs w:val="24"/>
        </w:rPr>
        <w:t>每期费用在中标人出具等额普通税务发票后由采购人进行支付。</w:t>
      </w:r>
    </w:p>
    <w:p>
      <w:pPr>
        <w:spacing w:line="360" w:lineRule="auto"/>
        <w:ind w:left="440"/>
        <w:rPr>
          <w:rFonts w:ascii="宋体" w:hAnsi="宋体"/>
          <w:sz w:val="24"/>
          <w:szCs w:val="24"/>
        </w:rPr>
      </w:pPr>
    </w:p>
    <w:p>
      <w:pPr>
        <w:pStyle w:val="6"/>
        <w:numPr>
          <w:ilvl w:val="0"/>
          <w:numId w:val="1"/>
        </w:numPr>
        <w:spacing w:line="360" w:lineRule="auto"/>
        <w:ind w:firstLineChars="0"/>
        <w:rPr>
          <w:rFonts w:ascii="宋体" w:hAnsi="宋体"/>
          <w:b/>
          <w:bCs/>
          <w:sz w:val="24"/>
          <w:szCs w:val="24"/>
        </w:rPr>
      </w:pPr>
      <w:r>
        <w:rPr>
          <w:rFonts w:hint="eastAsia" w:ascii="宋体" w:hAnsi="宋体"/>
          <w:b/>
          <w:bCs/>
          <w:sz w:val="24"/>
          <w:szCs w:val="24"/>
        </w:rPr>
        <w:t>报价文件构成</w:t>
      </w: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文件构成按以下顺序提供、编写及装订</w:t>
      </w:r>
    </w:p>
    <w:p>
      <w:pPr>
        <w:pStyle w:val="6"/>
        <w:numPr>
          <w:ilvl w:val="2"/>
          <w:numId w:val="1"/>
        </w:numPr>
        <w:spacing w:line="360" w:lineRule="auto"/>
        <w:ind w:firstLineChars="0"/>
        <w:rPr>
          <w:rFonts w:ascii="宋体" w:hAnsi="宋体"/>
          <w:sz w:val="24"/>
          <w:szCs w:val="24"/>
        </w:rPr>
      </w:pPr>
      <w:r>
        <w:rPr>
          <w:rFonts w:hint="eastAsia" w:ascii="宋体" w:hAnsi="宋体"/>
          <w:sz w:val="24"/>
          <w:szCs w:val="24"/>
        </w:rPr>
        <w:t>《封面》</w:t>
      </w:r>
    </w:p>
    <w:p>
      <w:pPr>
        <w:pStyle w:val="6"/>
        <w:numPr>
          <w:ilvl w:val="2"/>
          <w:numId w:val="1"/>
        </w:numPr>
        <w:spacing w:line="360" w:lineRule="auto"/>
        <w:ind w:firstLineChars="0"/>
        <w:rPr>
          <w:rFonts w:ascii="宋体" w:hAnsi="宋体"/>
          <w:sz w:val="24"/>
          <w:szCs w:val="24"/>
        </w:rPr>
      </w:pPr>
      <w:r>
        <w:rPr>
          <w:rFonts w:hint="eastAsia" w:ascii="宋体" w:hAnsi="宋体"/>
          <w:sz w:val="24"/>
          <w:szCs w:val="24"/>
        </w:rPr>
        <w:t>《目录》</w:t>
      </w:r>
    </w:p>
    <w:p>
      <w:pPr>
        <w:pStyle w:val="6"/>
        <w:numPr>
          <w:ilvl w:val="2"/>
          <w:numId w:val="1"/>
        </w:numPr>
        <w:spacing w:line="360" w:lineRule="auto"/>
        <w:ind w:firstLineChars="0"/>
        <w:rPr>
          <w:rFonts w:ascii="宋体" w:hAnsi="宋体"/>
          <w:sz w:val="24"/>
          <w:szCs w:val="24"/>
        </w:rPr>
      </w:pPr>
      <w:r>
        <w:rPr>
          <w:rFonts w:hint="eastAsia" w:ascii="宋体" w:hAnsi="宋体"/>
          <w:sz w:val="24"/>
          <w:szCs w:val="24"/>
        </w:rPr>
        <w:t>《声明函》（见附件二）</w:t>
      </w:r>
    </w:p>
    <w:p>
      <w:pPr>
        <w:pStyle w:val="6"/>
        <w:numPr>
          <w:ilvl w:val="2"/>
          <w:numId w:val="1"/>
        </w:numPr>
        <w:spacing w:line="360" w:lineRule="auto"/>
        <w:ind w:firstLineChars="0"/>
        <w:rPr>
          <w:rFonts w:ascii="宋体" w:hAnsi="宋体"/>
          <w:sz w:val="24"/>
          <w:szCs w:val="24"/>
        </w:rPr>
      </w:pPr>
      <w:r>
        <w:rPr>
          <w:rFonts w:hint="eastAsia" w:ascii="宋体" w:hAnsi="宋体"/>
          <w:sz w:val="24"/>
          <w:szCs w:val="24"/>
        </w:rPr>
        <w:t>《法定代表人授权委托书》</w:t>
      </w:r>
    </w:p>
    <w:p>
      <w:pPr>
        <w:pStyle w:val="6"/>
        <w:numPr>
          <w:ilvl w:val="2"/>
          <w:numId w:val="1"/>
        </w:numPr>
        <w:spacing w:line="360" w:lineRule="auto"/>
        <w:ind w:firstLineChars="0"/>
        <w:rPr>
          <w:rFonts w:ascii="宋体" w:hAnsi="宋体"/>
          <w:sz w:val="24"/>
          <w:szCs w:val="24"/>
        </w:rPr>
      </w:pPr>
      <w:r>
        <w:rPr>
          <w:rFonts w:hint="eastAsia" w:ascii="宋体" w:hAnsi="宋体"/>
          <w:sz w:val="24"/>
          <w:szCs w:val="24"/>
        </w:rPr>
        <w:t>《企业简介》和《相关资质》（如有）</w:t>
      </w:r>
    </w:p>
    <w:p>
      <w:pPr>
        <w:pStyle w:val="6"/>
        <w:numPr>
          <w:ilvl w:val="2"/>
          <w:numId w:val="1"/>
        </w:numPr>
        <w:spacing w:line="360" w:lineRule="auto"/>
        <w:ind w:firstLineChars="0"/>
        <w:rPr>
          <w:rFonts w:ascii="宋体" w:hAnsi="宋体"/>
          <w:sz w:val="24"/>
          <w:szCs w:val="24"/>
        </w:rPr>
      </w:pPr>
      <w:r>
        <w:rPr>
          <w:rFonts w:hint="eastAsia" w:ascii="宋体" w:hAnsi="宋体"/>
          <w:sz w:val="24"/>
          <w:szCs w:val="24"/>
        </w:rPr>
        <w:t>《报价函》</w:t>
      </w:r>
    </w:p>
    <w:p>
      <w:pPr>
        <w:pStyle w:val="6"/>
        <w:numPr>
          <w:ilvl w:val="2"/>
          <w:numId w:val="1"/>
        </w:numPr>
        <w:spacing w:line="360" w:lineRule="auto"/>
        <w:ind w:firstLineChars="0"/>
        <w:rPr>
          <w:rFonts w:ascii="宋体" w:hAnsi="宋体"/>
          <w:sz w:val="24"/>
          <w:szCs w:val="24"/>
        </w:rPr>
      </w:pPr>
      <w:r>
        <w:rPr>
          <w:rFonts w:hint="eastAsia" w:ascii="宋体" w:hAnsi="宋体"/>
          <w:sz w:val="24"/>
          <w:szCs w:val="24"/>
        </w:rPr>
        <w:t>《报价表》（须加盖公章）</w:t>
      </w:r>
    </w:p>
    <w:p>
      <w:pPr>
        <w:spacing w:line="360" w:lineRule="auto"/>
        <w:ind w:left="880"/>
        <w:rPr>
          <w:rFonts w:ascii="宋体" w:hAnsi="宋体"/>
          <w:sz w:val="24"/>
          <w:szCs w:val="24"/>
        </w:rPr>
      </w:pP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封装要求：</w:t>
      </w:r>
    </w:p>
    <w:p>
      <w:pPr>
        <w:pStyle w:val="6"/>
        <w:numPr>
          <w:ilvl w:val="0"/>
          <w:numId w:val="6"/>
        </w:numPr>
        <w:spacing w:line="360" w:lineRule="auto"/>
        <w:ind w:left="426" w:firstLineChars="0"/>
        <w:rPr>
          <w:rFonts w:ascii="宋体" w:hAnsi="宋体"/>
          <w:sz w:val="24"/>
          <w:szCs w:val="24"/>
        </w:rPr>
      </w:pPr>
      <w:r>
        <w:rPr>
          <w:rFonts w:hint="eastAsia" w:ascii="宋体" w:hAnsi="宋体"/>
          <w:sz w:val="24"/>
          <w:szCs w:val="24"/>
        </w:rPr>
        <w:t>报价文件需要全部封装在同一个密封袋中。</w:t>
      </w:r>
    </w:p>
    <w:p>
      <w:pPr>
        <w:pStyle w:val="6"/>
        <w:numPr>
          <w:ilvl w:val="0"/>
          <w:numId w:val="6"/>
        </w:numPr>
        <w:spacing w:line="360" w:lineRule="auto"/>
        <w:ind w:left="426" w:firstLineChars="0"/>
        <w:rPr>
          <w:rFonts w:ascii="宋体" w:hAnsi="宋体"/>
          <w:sz w:val="24"/>
          <w:szCs w:val="24"/>
        </w:rPr>
      </w:pPr>
      <w:r>
        <w:rPr>
          <w:rFonts w:hint="eastAsia" w:ascii="宋体" w:hAnsi="宋体"/>
          <w:sz w:val="24"/>
          <w:szCs w:val="24"/>
        </w:rPr>
        <w:t>密封袋除由报价人用自制封条在每个开口处密封并加盖投标人公章并标以密封日期外，其正面须：</w:t>
      </w:r>
    </w:p>
    <w:p>
      <w:pPr>
        <w:spacing w:line="360" w:lineRule="auto"/>
        <w:rPr>
          <w:rFonts w:ascii="宋体" w:hAnsi="宋体"/>
          <w:sz w:val="24"/>
          <w:szCs w:val="24"/>
        </w:rPr>
      </w:pPr>
      <w:r>
        <w:rPr>
          <w:rFonts w:hint="eastAsia" w:ascii="宋体" w:hAnsi="宋体"/>
          <w:sz w:val="24"/>
          <w:szCs w:val="24"/>
        </w:rPr>
        <w:t>1)</w:t>
      </w:r>
      <w:r>
        <w:rPr>
          <w:rFonts w:hint="eastAsia" w:ascii="宋体" w:hAnsi="宋体"/>
          <w:sz w:val="24"/>
          <w:szCs w:val="24"/>
        </w:rPr>
        <w:tab/>
      </w:r>
      <w:r>
        <w:rPr>
          <w:rFonts w:hint="eastAsia" w:ascii="宋体" w:hAnsi="宋体"/>
          <w:sz w:val="24"/>
          <w:szCs w:val="24"/>
        </w:rPr>
        <w:t>写明投标文件递交场所的名称和地址。</w:t>
      </w:r>
    </w:p>
    <w:p>
      <w:pPr>
        <w:spacing w:line="360" w:lineRule="auto"/>
        <w:rPr>
          <w:rFonts w:ascii="宋体" w:hAnsi="宋体"/>
          <w:sz w:val="24"/>
          <w:szCs w:val="24"/>
        </w:rPr>
      </w:pPr>
      <w:r>
        <w:rPr>
          <w:rFonts w:hint="eastAsia" w:ascii="宋体" w:hAnsi="宋体"/>
          <w:sz w:val="24"/>
          <w:szCs w:val="24"/>
        </w:rPr>
        <w:t>2)</w:t>
      </w:r>
      <w:r>
        <w:rPr>
          <w:rFonts w:hint="eastAsia" w:ascii="宋体" w:hAnsi="宋体"/>
          <w:sz w:val="24"/>
          <w:szCs w:val="24"/>
        </w:rPr>
        <w:tab/>
      </w:r>
      <w:r>
        <w:rPr>
          <w:rFonts w:hint="eastAsia" w:ascii="宋体" w:hAnsi="宋体"/>
          <w:sz w:val="24"/>
          <w:szCs w:val="24"/>
        </w:rPr>
        <w:t>具有下列识别标志：</w:t>
      </w:r>
    </w:p>
    <w:p>
      <w:pPr>
        <w:spacing w:line="360" w:lineRule="auto"/>
        <w:rPr>
          <w:rFonts w:ascii="宋体" w:hAnsi="宋体"/>
          <w:sz w:val="24"/>
          <w:szCs w:val="24"/>
        </w:rPr>
      </w:pPr>
      <w:r>
        <w:rPr>
          <w:rFonts w:hint="eastAsia" w:ascii="宋体" w:hAnsi="宋体"/>
          <w:sz w:val="24"/>
          <w:szCs w:val="24"/>
        </w:rPr>
        <w:t>(I)</w:t>
      </w:r>
      <w:r>
        <w:rPr>
          <w:rFonts w:hint="eastAsia" w:ascii="宋体" w:hAnsi="宋体"/>
          <w:sz w:val="24"/>
          <w:szCs w:val="24"/>
        </w:rPr>
        <w:tab/>
      </w:r>
      <w:r>
        <w:rPr>
          <w:rFonts w:hint="eastAsia" w:ascii="宋体" w:hAnsi="宋体"/>
          <w:sz w:val="24"/>
          <w:szCs w:val="24"/>
        </w:rPr>
        <w:t xml:space="preserve">投标名称“          ” </w:t>
      </w:r>
    </w:p>
    <w:p>
      <w:pPr>
        <w:spacing w:line="360" w:lineRule="auto"/>
        <w:rPr>
          <w:rFonts w:ascii="宋体" w:hAnsi="宋体"/>
          <w:sz w:val="24"/>
          <w:szCs w:val="24"/>
        </w:rPr>
      </w:pPr>
      <w:r>
        <w:rPr>
          <w:rFonts w:hint="eastAsia" w:ascii="宋体" w:hAnsi="宋体"/>
          <w:sz w:val="24"/>
          <w:szCs w:val="24"/>
        </w:rPr>
        <w:t>(II)</w:t>
      </w:r>
      <w:r>
        <w:rPr>
          <w:rFonts w:hint="eastAsia" w:ascii="宋体" w:hAnsi="宋体"/>
          <w:sz w:val="24"/>
          <w:szCs w:val="24"/>
        </w:rPr>
        <w:tab/>
      </w:r>
      <w:r>
        <w:rPr>
          <w:rFonts w:hint="eastAsia" w:ascii="宋体" w:hAnsi="宋体"/>
          <w:sz w:val="24"/>
          <w:szCs w:val="24"/>
        </w:rPr>
        <w:t xml:space="preserve">招标编号： </w:t>
      </w:r>
    </w:p>
    <w:p>
      <w:pPr>
        <w:spacing w:line="360" w:lineRule="auto"/>
        <w:rPr>
          <w:rFonts w:ascii="宋体" w:hAnsi="宋体"/>
          <w:sz w:val="24"/>
          <w:szCs w:val="24"/>
        </w:rPr>
      </w:pPr>
      <w:r>
        <w:rPr>
          <w:rFonts w:hint="eastAsia" w:ascii="宋体" w:hAnsi="宋体"/>
          <w:sz w:val="24"/>
          <w:szCs w:val="24"/>
        </w:rPr>
        <w:t>(III)</w:t>
      </w:r>
      <w:r>
        <w:rPr>
          <w:rFonts w:hint="eastAsia" w:ascii="宋体" w:hAnsi="宋体"/>
          <w:sz w:val="24"/>
          <w:szCs w:val="24"/>
        </w:rPr>
        <w:tab/>
      </w:r>
      <w:r>
        <w:rPr>
          <w:rFonts w:hint="eastAsia" w:ascii="宋体" w:hAnsi="宋体"/>
          <w:sz w:val="24"/>
          <w:szCs w:val="24"/>
        </w:rPr>
        <w:t xml:space="preserve">  年 月   日    时   分开标，此时间之前不得开封</w:t>
      </w:r>
    </w:p>
    <w:p>
      <w:pPr>
        <w:spacing w:line="360" w:lineRule="auto"/>
        <w:rPr>
          <w:rFonts w:ascii="宋体" w:hAnsi="宋体"/>
          <w:sz w:val="24"/>
          <w:szCs w:val="24"/>
        </w:rPr>
      </w:pPr>
      <w:r>
        <w:rPr>
          <w:rFonts w:hint="eastAsia" w:ascii="宋体" w:hAnsi="宋体"/>
          <w:sz w:val="24"/>
          <w:szCs w:val="24"/>
        </w:rPr>
        <w:t>(IV)</w:t>
      </w:r>
      <w:r>
        <w:rPr>
          <w:rFonts w:hint="eastAsia" w:ascii="宋体" w:hAnsi="宋体"/>
          <w:sz w:val="24"/>
          <w:szCs w:val="24"/>
        </w:rPr>
        <w:tab/>
      </w:r>
      <w:r>
        <w:rPr>
          <w:rFonts w:hint="eastAsia" w:ascii="宋体" w:hAnsi="宋体"/>
          <w:sz w:val="24"/>
          <w:szCs w:val="24"/>
        </w:rPr>
        <w:t>注明投标人的名称、地址和邮编，以便迟到的投标文件能被原封退回。</w:t>
      </w:r>
    </w:p>
    <w:p>
      <w:pPr>
        <w:widowControl/>
        <w:jc w:val="left"/>
        <w:rPr>
          <w:rFonts w:ascii="宋体" w:hAnsi="宋体"/>
          <w:sz w:val="24"/>
          <w:szCs w:val="24"/>
        </w:rPr>
      </w:pPr>
      <w:r>
        <w:rPr>
          <w:rFonts w:ascii="宋体" w:hAnsi="宋体"/>
          <w:sz w:val="24"/>
          <w:szCs w:val="24"/>
        </w:rPr>
        <w:br w:type="page"/>
      </w:r>
    </w:p>
    <w:p>
      <w:pPr>
        <w:adjustRightInd w:val="0"/>
        <w:snapToGrid w:val="0"/>
        <w:spacing w:line="360" w:lineRule="auto"/>
        <w:rPr>
          <w:rFonts w:ascii="宋体" w:hAnsi="宋体"/>
          <w:b/>
          <w:color w:val="000000"/>
          <w:kern w:val="0"/>
          <w:sz w:val="24"/>
          <w:szCs w:val="24"/>
        </w:rPr>
      </w:pPr>
      <w:r>
        <w:rPr>
          <w:rFonts w:hint="eastAsia" w:ascii="宋体" w:hAnsi="宋体"/>
          <w:b/>
          <w:color w:val="000000"/>
          <w:kern w:val="0"/>
          <w:sz w:val="24"/>
          <w:szCs w:val="24"/>
        </w:rPr>
        <w:t>附件一：</w:t>
      </w:r>
      <w:r>
        <w:rPr>
          <w:rFonts w:hint="eastAsia" w:ascii="宋体" w:hAnsi="宋体"/>
          <w:b/>
          <w:color w:val="000000"/>
          <w:kern w:val="0"/>
          <w:sz w:val="22"/>
        </w:rPr>
        <w:t>项目内容清单</w:t>
      </w:r>
    </w:p>
    <w:p>
      <w:pPr>
        <w:bidi w:val="0"/>
        <w:jc w:val="left"/>
        <w:rPr>
          <w:rFonts w:eastAsia="宋体" w:asciiTheme="minorHAnsi" w:hAnsiTheme="minorHAnsi" w:cstheme="minorBidi"/>
          <w:kern w:val="2"/>
          <w:sz w:val="21"/>
          <w:szCs w:val="22"/>
          <w:lang w:val="en-US" w:eastAsia="zh-CN" w:bidi="ar-SA"/>
        </w:rPr>
      </w:pPr>
    </w:p>
    <w:tbl>
      <w:tblPr>
        <w:tblStyle w:val="4"/>
        <w:tblW w:w="986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79"/>
        <w:gridCol w:w="3083"/>
        <w:gridCol w:w="1224"/>
        <w:gridCol w:w="976"/>
        <w:gridCol w:w="1601"/>
        <w:gridCol w:w="1397"/>
        <w:gridCol w:w="9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9864"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整体规划及创作人员费用清单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jc w:val="center"/>
        </w:trPr>
        <w:tc>
          <w:tcPr>
            <w:tcW w:w="6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3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内容</w:t>
            </w:r>
          </w:p>
        </w:tc>
        <w:tc>
          <w:tcPr>
            <w:tcW w:w="12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天数</w:t>
            </w:r>
          </w:p>
        </w:tc>
        <w:tc>
          <w:tcPr>
            <w:tcW w:w="16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单价（元）/天</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总价（元）</w:t>
            </w:r>
          </w:p>
        </w:tc>
        <w:tc>
          <w:tcPr>
            <w:tcW w:w="9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jc w:val="center"/>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w:t>
            </w:r>
          </w:p>
        </w:tc>
        <w:tc>
          <w:tcPr>
            <w:tcW w:w="3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副导演1人</w:t>
            </w:r>
          </w:p>
        </w:tc>
        <w:tc>
          <w:tcPr>
            <w:tcW w:w="12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3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9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jc w:val="center"/>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w:t>
            </w:r>
          </w:p>
        </w:tc>
        <w:tc>
          <w:tcPr>
            <w:tcW w:w="3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编导2人</w:t>
            </w:r>
          </w:p>
        </w:tc>
        <w:tc>
          <w:tcPr>
            <w:tcW w:w="12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3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9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jc w:val="center"/>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w:t>
            </w:r>
          </w:p>
        </w:tc>
        <w:tc>
          <w:tcPr>
            <w:tcW w:w="3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策划及文案4人</w:t>
            </w:r>
          </w:p>
        </w:tc>
        <w:tc>
          <w:tcPr>
            <w:tcW w:w="12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3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9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jc w:val="center"/>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4</w:t>
            </w:r>
          </w:p>
        </w:tc>
        <w:tc>
          <w:tcPr>
            <w:tcW w:w="30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舞美设计1人</w:t>
            </w:r>
          </w:p>
        </w:tc>
        <w:tc>
          <w:tcPr>
            <w:tcW w:w="12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3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9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jc w:val="center"/>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5</w:t>
            </w:r>
          </w:p>
        </w:tc>
        <w:tc>
          <w:tcPr>
            <w:tcW w:w="30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多媒体设计1人</w:t>
            </w:r>
          </w:p>
        </w:tc>
        <w:tc>
          <w:tcPr>
            <w:tcW w:w="12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3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9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jc w:val="center"/>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6</w:t>
            </w:r>
          </w:p>
        </w:tc>
        <w:tc>
          <w:tcPr>
            <w:tcW w:w="30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平面设计2人</w:t>
            </w:r>
          </w:p>
        </w:tc>
        <w:tc>
          <w:tcPr>
            <w:tcW w:w="12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3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9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jc w:val="center"/>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7</w:t>
            </w:r>
          </w:p>
        </w:tc>
        <w:tc>
          <w:tcPr>
            <w:tcW w:w="30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灯光设计2人</w:t>
            </w:r>
          </w:p>
        </w:tc>
        <w:tc>
          <w:tcPr>
            <w:tcW w:w="12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3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9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8</w:t>
            </w:r>
          </w:p>
        </w:tc>
        <w:tc>
          <w:tcPr>
            <w:tcW w:w="30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灯光编程2人</w:t>
            </w:r>
          </w:p>
        </w:tc>
        <w:tc>
          <w:tcPr>
            <w:tcW w:w="12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3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9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9</w:t>
            </w:r>
          </w:p>
        </w:tc>
        <w:tc>
          <w:tcPr>
            <w:tcW w:w="30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邀请国内著名视觉艺术家及音响总监，8人 （含差旅费）</w:t>
            </w:r>
          </w:p>
        </w:tc>
        <w:tc>
          <w:tcPr>
            <w:tcW w:w="12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4</w:t>
            </w:r>
          </w:p>
        </w:tc>
        <w:tc>
          <w:tcPr>
            <w:tcW w:w="1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3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9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10</w:t>
            </w:r>
          </w:p>
        </w:tc>
        <w:tc>
          <w:tcPr>
            <w:tcW w:w="30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剧务等工作人员约10人劳务</w:t>
            </w:r>
          </w:p>
        </w:tc>
        <w:tc>
          <w:tcPr>
            <w:tcW w:w="12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3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9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11</w:t>
            </w:r>
          </w:p>
        </w:tc>
        <w:tc>
          <w:tcPr>
            <w:tcW w:w="30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不可预计费（现场15天食宿）</w:t>
            </w:r>
          </w:p>
        </w:tc>
        <w:tc>
          <w:tcPr>
            <w:tcW w:w="12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3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9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756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w:t>
            </w:r>
          </w:p>
        </w:tc>
        <w:tc>
          <w:tcPr>
            <w:tcW w:w="13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FF0000"/>
                <w:sz w:val="24"/>
                <w:szCs w:val="24"/>
                <w:u w:val="none"/>
              </w:rPr>
            </w:pPr>
          </w:p>
        </w:tc>
        <w:tc>
          <w:tcPr>
            <w:tcW w:w="9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bl>
    <w:p>
      <w:pPr>
        <w:widowControl/>
        <w:jc w:val="left"/>
        <w:rPr>
          <w:sz w:val="24"/>
          <w:szCs w:val="24"/>
        </w:rPr>
      </w:pPr>
    </w:p>
    <w:p>
      <w:pPr>
        <w:widowControl/>
        <w:jc w:val="left"/>
        <w:rPr>
          <w:sz w:val="24"/>
          <w:szCs w:val="24"/>
        </w:rPr>
      </w:pPr>
    </w:p>
    <w:p>
      <w:pPr>
        <w:widowControl/>
        <w:jc w:val="left"/>
        <w:rPr>
          <w:sz w:val="24"/>
          <w:szCs w:val="24"/>
        </w:rPr>
      </w:pPr>
    </w:p>
    <w:p>
      <w:pPr>
        <w:widowControl/>
        <w:jc w:val="left"/>
        <w:rPr>
          <w:sz w:val="24"/>
          <w:szCs w:val="24"/>
        </w:rPr>
      </w:pPr>
    </w:p>
    <w:p>
      <w:pPr>
        <w:widowControl/>
        <w:jc w:val="left"/>
        <w:rPr>
          <w:sz w:val="24"/>
          <w:szCs w:val="24"/>
        </w:rPr>
      </w:pPr>
    </w:p>
    <w:p>
      <w:pPr>
        <w:widowControl/>
        <w:jc w:val="left"/>
        <w:rPr>
          <w:sz w:val="24"/>
          <w:szCs w:val="24"/>
        </w:rPr>
      </w:pPr>
    </w:p>
    <w:p>
      <w:pPr>
        <w:widowControl/>
        <w:jc w:val="left"/>
        <w:rPr>
          <w:sz w:val="24"/>
          <w:szCs w:val="24"/>
        </w:rPr>
      </w:pPr>
    </w:p>
    <w:p>
      <w:pPr>
        <w:widowControl/>
        <w:jc w:val="left"/>
        <w:rPr>
          <w:sz w:val="24"/>
          <w:szCs w:val="24"/>
        </w:rPr>
      </w:pPr>
    </w:p>
    <w:p>
      <w:pPr>
        <w:widowControl/>
        <w:jc w:val="left"/>
        <w:rPr>
          <w:sz w:val="24"/>
          <w:szCs w:val="24"/>
        </w:rPr>
      </w:pPr>
    </w:p>
    <w:p>
      <w:pPr>
        <w:widowControl/>
        <w:jc w:val="left"/>
        <w:rPr>
          <w:sz w:val="24"/>
          <w:szCs w:val="24"/>
        </w:rPr>
      </w:pPr>
    </w:p>
    <w:p>
      <w:pPr>
        <w:widowControl/>
        <w:jc w:val="left"/>
        <w:rPr>
          <w:sz w:val="24"/>
          <w:szCs w:val="24"/>
        </w:rPr>
      </w:pPr>
    </w:p>
    <w:p>
      <w:pPr>
        <w:widowControl/>
        <w:jc w:val="left"/>
        <w:rPr>
          <w:sz w:val="24"/>
          <w:szCs w:val="24"/>
        </w:rPr>
      </w:pPr>
    </w:p>
    <w:p>
      <w:pPr>
        <w:adjustRightInd w:val="0"/>
        <w:snapToGrid w:val="0"/>
        <w:spacing w:line="360" w:lineRule="auto"/>
        <w:rPr>
          <w:rFonts w:hint="eastAsia" w:ascii="宋体" w:hAnsi="宋体" w:eastAsia="宋体"/>
          <w:b/>
          <w:color w:val="000000"/>
          <w:kern w:val="0"/>
          <w:sz w:val="24"/>
          <w:szCs w:val="24"/>
          <w:lang w:eastAsia="zh-CN"/>
        </w:rPr>
      </w:pPr>
      <w:r>
        <w:rPr>
          <w:rFonts w:hint="eastAsia" w:ascii="宋体" w:hAnsi="宋体"/>
          <w:b/>
          <w:color w:val="000000"/>
          <w:kern w:val="0"/>
          <w:sz w:val="24"/>
          <w:szCs w:val="24"/>
        </w:rPr>
        <w:t>附件</w:t>
      </w:r>
      <w:r>
        <w:rPr>
          <w:rFonts w:hint="eastAsia" w:ascii="宋体" w:hAnsi="宋体"/>
          <w:b/>
          <w:color w:val="000000"/>
          <w:kern w:val="0"/>
          <w:sz w:val="24"/>
          <w:szCs w:val="24"/>
          <w:lang w:eastAsia="zh-CN"/>
        </w:rPr>
        <w:t>二</w:t>
      </w:r>
      <w:r>
        <w:rPr>
          <w:rFonts w:hint="eastAsia" w:ascii="宋体" w:hAnsi="宋体"/>
          <w:b/>
          <w:color w:val="000000"/>
          <w:kern w:val="0"/>
          <w:sz w:val="24"/>
          <w:szCs w:val="24"/>
        </w:rPr>
        <w:t>：</w:t>
      </w:r>
      <w:r>
        <w:rPr>
          <w:rFonts w:hint="eastAsia" w:ascii="宋体" w:hAnsi="宋体"/>
          <w:b/>
          <w:color w:val="000000"/>
          <w:kern w:val="0"/>
          <w:sz w:val="24"/>
          <w:szCs w:val="24"/>
          <w:lang w:eastAsia="zh-CN"/>
        </w:rPr>
        <w:t>声明函</w:t>
      </w:r>
      <w:bookmarkStart w:id="0" w:name="_GoBack"/>
      <w:bookmarkEnd w:id="0"/>
    </w:p>
    <w:p>
      <w:pPr>
        <w:widowControl/>
        <w:jc w:val="left"/>
        <w:rPr>
          <w:sz w:val="24"/>
          <w:szCs w:val="24"/>
        </w:rPr>
      </w:pPr>
    </w:p>
    <w:p>
      <w:pPr>
        <w:widowControl/>
        <w:jc w:val="left"/>
        <w:rPr>
          <w:sz w:val="24"/>
          <w:szCs w:val="24"/>
        </w:rPr>
      </w:pPr>
    </w:p>
    <w:p>
      <w:pPr>
        <w:widowControl/>
        <w:jc w:val="left"/>
        <w:rPr>
          <w:sz w:val="24"/>
          <w:szCs w:val="24"/>
        </w:rPr>
      </w:pPr>
    </w:p>
    <w:p>
      <w:pPr>
        <w:widowControl/>
        <w:jc w:val="left"/>
        <w:rPr>
          <w:sz w:val="24"/>
          <w:szCs w:val="24"/>
        </w:rPr>
      </w:pPr>
    </w:p>
    <w:p>
      <w:pPr>
        <w:widowControl/>
        <w:jc w:val="left"/>
        <w:rPr>
          <w:sz w:val="24"/>
          <w:szCs w:val="24"/>
        </w:rPr>
      </w:pPr>
    </w:p>
    <w:p>
      <w:pPr>
        <w:jc w:val="center"/>
        <w:rPr>
          <w:rFonts w:asciiTheme="majorEastAsia" w:hAnsiTheme="majorEastAsia" w:eastAsiaTheme="majorEastAsia"/>
          <w:b/>
          <w:bCs/>
          <w:sz w:val="28"/>
          <w:szCs w:val="28"/>
        </w:rPr>
      </w:pPr>
      <w:r>
        <w:rPr>
          <w:rFonts w:hint="eastAsia" w:asciiTheme="majorEastAsia" w:hAnsiTheme="majorEastAsia" w:eastAsiaTheme="majorEastAsia"/>
          <w:b/>
          <w:bCs/>
          <w:sz w:val="28"/>
          <w:szCs w:val="28"/>
        </w:rPr>
        <w:t>声明函</w:t>
      </w:r>
    </w:p>
    <w:p>
      <w:pPr>
        <w:rPr>
          <w:rFonts w:asciiTheme="majorEastAsia" w:hAnsiTheme="majorEastAsia" w:eastAsiaTheme="majorEastAsia"/>
          <w:sz w:val="28"/>
          <w:szCs w:val="28"/>
        </w:rPr>
      </w:pPr>
    </w:p>
    <w:p>
      <w:pPr>
        <w:rPr>
          <w:rFonts w:asciiTheme="majorEastAsia" w:hAnsiTheme="majorEastAsia" w:eastAsiaTheme="majorEastAsia"/>
          <w:sz w:val="28"/>
          <w:szCs w:val="28"/>
        </w:rPr>
      </w:pPr>
      <w:r>
        <w:rPr>
          <w:rFonts w:hint="eastAsia" w:asciiTheme="majorEastAsia" w:hAnsiTheme="majorEastAsia" w:eastAsiaTheme="majorEastAsia"/>
          <w:sz w:val="28"/>
          <w:szCs w:val="28"/>
        </w:rPr>
        <w:t>我司参加</w:t>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hint="eastAsia" w:asciiTheme="majorEastAsia" w:hAnsiTheme="majorEastAsia" w:eastAsiaTheme="majorEastAsia"/>
          <w:sz w:val="28"/>
          <w:szCs w:val="28"/>
        </w:rPr>
        <w:t>项目做出如下声明：</w:t>
      </w:r>
    </w:p>
    <w:p>
      <w:pPr>
        <w:ind w:firstLine="495" w:firstLineChars="177"/>
        <w:rPr>
          <w:rFonts w:asciiTheme="majorEastAsia" w:hAnsiTheme="majorEastAsia" w:eastAsiaTheme="majorEastAsia"/>
          <w:sz w:val="28"/>
          <w:szCs w:val="28"/>
        </w:rPr>
      </w:pPr>
      <w:r>
        <w:rPr>
          <w:rFonts w:hint="eastAsia" w:asciiTheme="majorEastAsia" w:hAnsiTheme="majorEastAsia" w:eastAsiaTheme="majorEastAsia"/>
          <w:sz w:val="28"/>
          <w:szCs w:val="28"/>
        </w:rPr>
        <w:t>我司具有良好的商业信誉，未被法院列为被执行人或失信人名单，无市场监督管理局等国家管理机关的行政处罚或行业处分等类似情形。</w:t>
      </w:r>
    </w:p>
    <w:p>
      <w:pPr>
        <w:ind w:firstLine="425" w:firstLineChars="152"/>
        <w:rPr>
          <w:rFonts w:asciiTheme="majorEastAsia" w:hAnsiTheme="majorEastAsia" w:eastAsiaTheme="majorEastAsia"/>
          <w:sz w:val="28"/>
          <w:szCs w:val="28"/>
        </w:rPr>
      </w:pPr>
      <w:r>
        <w:rPr>
          <w:rFonts w:hint="eastAsia" w:asciiTheme="majorEastAsia" w:hAnsiTheme="majorEastAsia" w:eastAsiaTheme="majorEastAsia"/>
          <w:sz w:val="28"/>
          <w:szCs w:val="28"/>
        </w:rPr>
        <w:t>特此声明！</w:t>
      </w:r>
    </w:p>
    <w:p>
      <w:pPr>
        <w:rPr>
          <w:rFonts w:asciiTheme="majorEastAsia" w:hAnsiTheme="majorEastAsia" w:eastAsiaTheme="majorEastAsia"/>
          <w:sz w:val="28"/>
          <w:szCs w:val="28"/>
        </w:rPr>
      </w:pPr>
    </w:p>
    <w:p>
      <w:pPr>
        <w:rPr>
          <w:rFonts w:asciiTheme="majorEastAsia" w:hAnsiTheme="majorEastAsia" w:eastAsiaTheme="majorEastAsia"/>
          <w:sz w:val="28"/>
          <w:szCs w:val="28"/>
        </w:rPr>
      </w:pPr>
    </w:p>
    <w:p>
      <w:pPr>
        <w:rPr>
          <w:rFonts w:asciiTheme="majorEastAsia" w:hAnsiTheme="majorEastAsia" w:eastAsiaTheme="majorEastAsia"/>
          <w:sz w:val="28"/>
          <w:szCs w:val="28"/>
        </w:rPr>
      </w:pPr>
    </w:p>
    <w:p>
      <w:pPr>
        <w:jc w:val="right"/>
        <w:rPr>
          <w:rFonts w:asciiTheme="majorEastAsia" w:hAnsiTheme="majorEastAsia" w:eastAsiaTheme="majorEastAsia"/>
          <w:sz w:val="28"/>
          <w:szCs w:val="28"/>
        </w:rPr>
      </w:pPr>
      <w:r>
        <w:rPr>
          <w:rFonts w:hint="eastAsia" w:asciiTheme="majorEastAsia" w:hAnsiTheme="majorEastAsia" w:eastAsiaTheme="majorEastAsia"/>
          <w:sz w:val="28"/>
          <w:szCs w:val="28"/>
        </w:rPr>
        <w:t>单位名称（盖章）：</w:t>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p>
    <w:p>
      <w:pPr>
        <w:jc w:val="right"/>
        <w:rPr>
          <w:rFonts w:asciiTheme="majorEastAsia" w:hAnsiTheme="majorEastAsia" w:eastAsiaTheme="majorEastAsia"/>
          <w:sz w:val="28"/>
          <w:szCs w:val="28"/>
        </w:rPr>
      </w:pPr>
      <w:r>
        <w:rPr>
          <w:rFonts w:hint="eastAsia" w:asciiTheme="majorEastAsia" w:hAnsiTheme="majorEastAsia" w:eastAsiaTheme="majorEastAsia"/>
          <w:sz w:val="28"/>
          <w:szCs w:val="28"/>
        </w:rPr>
        <w:t>日期：</w:t>
      </w:r>
      <w:r>
        <w:rPr>
          <w:rFonts w:asciiTheme="majorEastAsia" w:hAnsiTheme="majorEastAsia" w:eastAsiaTheme="majorEastAsia"/>
          <w:sz w:val="28"/>
          <w:szCs w:val="28"/>
        </w:rPr>
        <w:tab/>
      </w:r>
      <w:r>
        <w:rPr>
          <w:rFonts w:asciiTheme="majorEastAsia" w:hAnsiTheme="majorEastAsia" w:eastAsiaTheme="majorEastAsia"/>
          <w:sz w:val="28"/>
          <w:szCs w:val="28"/>
        </w:rPr>
        <w:tab/>
      </w:r>
      <w:r>
        <w:rPr>
          <w:rFonts w:asciiTheme="majorEastAsia" w:hAnsiTheme="majorEastAsia" w:eastAsiaTheme="majorEastAsia"/>
          <w:sz w:val="28"/>
          <w:szCs w:val="28"/>
        </w:rPr>
        <w:t>年</w:t>
      </w:r>
      <w:r>
        <w:rPr>
          <w:rFonts w:asciiTheme="majorEastAsia" w:hAnsiTheme="majorEastAsia" w:eastAsiaTheme="majorEastAsia"/>
          <w:sz w:val="28"/>
          <w:szCs w:val="28"/>
        </w:rPr>
        <w:tab/>
      </w:r>
      <w:r>
        <w:rPr>
          <w:rFonts w:asciiTheme="majorEastAsia" w:hAnsiTheme="majorEastAsia" w:eastAsiaTheme="majorEastAsia"/>
          <w:sz w:val="28"/>
          <w:szCs w:val="28"/>
        </w:rPr>
        <w:tab/>
      </w:r>
      <w:r>
        <w:rPr>
          <w:rFonts w:asciiTheme="majorEastAsia" w:hAnsiTheme="majorEastAsia" w:eastAsiaTheme="majorEastAsia"/>
          <w:sz w:val="28"/>
          <w:szCs w:val="28"/>
        </w:rPr>
        <w:t>月</w:t>
      </w:r>
      <w:r>
        <w:rPr>
          <w:rFonts w:asciiTheme="majorEastAsia" w:hAnsiTheme="majorEastAsia" w:eastAsiaTheme="majorEastAsia"/>
          <w:sz w:val="28"/>
          <w:szCs w:val="28"/>
        </w:rPr>
        <w:tab/>
      </w:r>
      <w:r>
        <w:rPr>
          <w:rFonts w:asciiTheme="majorEastAsia" w:hAnsiTheme="majorEastAsia" w:eastAsiaTheme="majorEastAsia"/>
          <w:sz w:val="28"/>
          <w:szCs w:val="28"/>
        </w:rPr>
        <w:tab/>
      </w:r>
      <w:r>
        <w:rPr>
          <w:rFonts w:asciiTheme="majorEastAsia" w:hAnsiTheme="majorEastAsia" w:eastAsiaTheme="majorEastAsia"/>
          <w:sz w:val="28"/>
          <w:szCs w:val="28"/>
        </w:rPr>
        <w:t>日</w:t>
      </w:r>
    </w:p>
    <w:p/>
    <w:sectPr>
      <w:headerReference r:id="rId5" w:type="first"/>
      <w:headerReference r:id="rId3" w:type="default"/>
      <w:footerReference r:id="rId6" w:type="default"/>
      <w:headerReference r:id="rId4" w:type="even"/>
      <w:pgSz w:w="11906" w:h="16838"/>
      <w:pgMar w:top="1440" w:right="1800" w:bottom="1440" w:left="1800" w:header="851" w:footer="68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22370401"/>
      <w:docPartObj>
        <w:docPartGallery w:val="autotext"/>
      </w:docPartObj>
    </w:sdtPr>
    <w:sdtContent>
      <w:sdt>
        <w:sdtPr>
          <w:id w:val="1728636285"/>
          <w:docPartObj>
            <w:docPartGallery w:val="autotext"/>
          </w:docPartObj>
        </w:sdtPr>
        <w:sdtContent>
          <w:p>
            <w:pPr>
              <w:pStyle w:val="2"/>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lang w:val="zh-CN"/>
              </w:rPr>
              <w:t>2</w:t>
            </w:r>
            <w:r>
              <w:rPr>
                <w:b/>
                <w:bCs/>
                <w:sz w:val="24"/>
                <w:szCs w:val="24"/>
              </w:rPr>
              <w:fldChar w:fldCharType="end"/>
            </w:r>
          </w:p>
        </w:sdtContent>
      </w:sdt>
    </w:sdtContent>
  </w:sdt>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5267960" cy="4584700"/>
          <wp:effectExtent l="0" t="0" r="8890" b="6350"/>
          <wp:wrapNone/>
          <wp:docPr id="3" name="WordPictureWatermark1265815127"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1265815127" descr="LOGO"/>
                  <pic:cNvPicPr>
                    <a:picLocks noChangeAspect="1"/>
                  </pic:cNvPicPr>
                </pic:nvPicPr>
                <pic:blipFill>
                  <a:blip r:embed="rId1">
                    <a:lum bright="70001" contrast="-70000"/>
                  </a:blip>
                  <a:stretch>
                    <a:fillRect/>
                  </a:stretch>
                </pic:blipFill>
                <pic:spPr>
                  <a:xfrm>
                    <a:off x="0" y="0"/>
                    <a:ext cx="5267960" cy="4584700"/>
                  </a:xfrm>
                  <a:prstGeom prst="rect">
                    <a:avLst/>
                  </a:prstGeom>
                  <a:noFill/>
                  <a:ln>
                    <a:noFill/>
                  </a:ln>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5267960" cy="4584700"/>
          <wp:effectExtent l="0" t="0" r="8890" b="6350"/>
          <wp:wrapNone/>
          <wp:docPr id="2" name="WordPictureWatermark1265815126"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1265815126" descr="LOGO"/>
                  <pic:cNvPicPr>
                    <a:picLocks noChangeAspect="1"/>
                  </pic:cNvPicPr>
                </pic:nvPicPr>
                <pic:blipFill>
                  <a:blip r:embed="rId1">
                    <a:lum bright="70001" contrast="-70000"/>
                  </a:blip>
                  <a:stretch>
                    <a:fillRect/>
                  </a:stretch>
                </pic:blipFill>
                <pic:spPr>
                  <a:xfrm>
                    <a:off x="0" y="0"/>
                    <a:ext cx="5267960" cy="4584700"/>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5267960" cy="4584700"/>
          <wp:effectExtent l="0" t="0" r="8890" b="6350"/>
          <wp:wrapNone/>
          <wp:docPr id="1" name="WordPictureWatermark1265815125"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1265815125" descr="LOGO"/>
                  <pic:cNvPicPr>
                    <a:picLocks noChangeAspect="1"/>
                  </pic:cNvPicPr>
                </pic:nvPicPr>
                <pic:blipFill>
                  <a:blip r:embed="rId1">
                    <a:lum bright="70001" contrast="-70000"/>
                  </a:blip>
                  <a:stretch>
                    <a:fillRect/>
                  </a:stretch>
                </pic:blipFill>
                <pic:spPr>
                  <a:xfrm>
                    <a:off x="0" y="0"/>
                    <a:ext cx="5267960" cy="4584700"/>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340BE9"/>
    <w:multiLevelType w:val="multilevel"/>
    <w:tmpl w:val="07340BE9"/>
    <w:lvl w:ilvl="0" w:tentative="0">
      <w:start w:val="1"/>
      <w:numFmt w:val="decimal"/>
      <w:lvlText w:val="%1、"/>
      <w:lvlJc w:val="left"/>
      <w:pPr>
        <w:ind w:left="704" w:hanging="42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
    <w:nsid w:val="09774794"/>
    <w:multiLevelType w:val="multilevel"/>
    <w:tmpl w:val="09774794"/>
    <w:lvl w:ilvl="0" w:tentative="0">
      <w:start w:val="1"/>
      <w:numFmt w:val="decimal"/>
      <w:lvlText w:val="%1、"/>
      <w:lvlJc w:val="left"/>
      <w:pPr>
        <w:ind w:left="420" w:hanging="42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
    <w:nsid w:val="2CD072E7"/>
    <w:multiLevelType w:val="multilevel"/>
    <w:tmpl w:val="2CD072E7"/>
    <w:lvl w:ilvl="0" w:tentative="0">
      <w:start w:val="1"/>
      <w:numFmt w:val="decimal"/>
      <w:lvlText w:val="%1、"/>
      <w:lvlJc w:val="left"/>
      <w:pPr>
        <w:ind w:left="425" w:hanging="425"/>
      </w:pPr>
    </w:lvl>
    <w:lvl w:ilvl="1" w:tentative="0">
      <w:start w:val="1"/>
      <w:numFmt w:val="decimal"/>
      <w:lvlText w:val="%2)"/>
      <w:lvlJc w:val="left"/>
      <w:pPr>
        <w:ind w:left="992" w:hanging="567"/>
      </w:pPr>
    </w:lvl>
    <w:lvl w:ilvl="2" w:tentative="0">
      <w:start w:val="1"/>
      <w:numFmt w:val="decimal"/>
      <w:lvlText w:val="%1.%2.%3"/>
      <w:lvlJc w:val="left"/>
      <w:pPr>
        <w:ind w:left="1418" w:hanging="567"/>
      </w:p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abstractNum w:abstractNumId="3">
    <w:nsid w:val="4B2C1C71"/>
    <w:multiLevelType w:val="multilevel"/>
    <w:tmpl w:val="4B2C1C71"/>
    <w:lvl w:ilvl="0" w:tentative="0">
      <w:start w:val="1"/>
      <w:numFmt w:val="decimal"/>
      <w:lvlText w:val="%1、"/>
      <w:lvlJc w:val="left"/>
      <w:pPr>
        <w:ind w:left="880" w:hanging="440"/>
      </w:pPr>
      <w:rPr>
        <w:rFonts w:hint="default"/>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
    <w:nsid w:val="50E81B9F"/>
    <w:multiLevelType w:val="multilevel"/>
    <w:tmpl w:val="50E81B9F"/>
    <w:lvl w:ilvl="0" w:tentative="0">
      <w:start w:val="1"/>
      <w:numFmt w:val="chineseCountingThousand"/>
      <w:suff w:val="space"/>
      <w:lvlText w:val="%1、"/>
      <w:lvlJc w:val="left"/>
      <w:pPr>
        <w:ind w:left="440" w:hanging="440"/>
      </w:pPr>
      <w:rPr>
        <w:rFonts w:hint="eastAsia"/>
      </w:rPr>
    </w:lvl>
    <w:lvl w:ilvl="1" w:tentative="0">
      <w:start w:val="1"/>
      <w:numFmt w:val="decimal"/>
      <w:lvlText w:val="%2、"/>
      <w:lvlJc w:val="left"/>
      <w:pPr>
        <w:ind w:left="880" w:hanging="440"/>
      </w:pPr>
      <w:rPr>
        <w:rFonts w:hint="default"/>
        <w:b w:val="0"/>
        <w:bCs w:val="0"/>
      </w:rPr>
    </w:lvl>
    <w:lvl w:ilvl="2" w:tentative="0">
      <w:start w:val="1"/>
      <w:numFmt w:val="decimal"/>
      <w:lvlText w:val="%3)"/>
      <w:lvlJc w:val="lef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
    <w:nsid w:val="64E206F2"/>
    <w:multiLevelType w:val="multilevel"/>
    <w:tmpl w:val="64E206F2"/>
    <w:lvl w:ilvl="0" w:tentative="0">
      <w:start w:val="1"/>
      <w:numFmt w:val="decimal"/>
      <w:lvlText w:val="%1、"/>
      <w:lvlJc w:val="left"/>
      <w:pPr>
        <w:ind w:left="425" w:hanging="425"/>
      </w:pPr>
    </w:lvl>
    <w:lvl w:ilvl="1" w:tentative="0">
      <w:start w:val="1"/>
      <w:numFmt w:val="decimal"/>
      <w:lvlText w:val="%2)"/>
      <w:lvlJc w:val="left"/>
      <w:pPr>
        <w:ind w:left="992" w:hanging="567"/>
      </w:pPr>
    </w:lvl>
    <w:lvl w:ilvl="2" w:tentative="0">
      <w:start w:val="1"/>
      <w:numFmt w:val="decimal"/>
      <w:lvlText w:val="%1.%2.%3"/>
      <w:lvlJc w:val="left"/>
      <w:pPr>
        <w:ind w:left="1418" w:hanging="567"/>
      </w:p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num w:numId="1">
    <w:abstractNumId w:val="4"/>
  </w:num>
  <w:num w:numId="2">
    <w:abstractNumId w:val="1"/>
  </w:num>
  <w:num w:numId="3">
    <w:abstractNumId w:val="2"/>
  </w:num>
  <w:num w:numId="4">
    <w:abstractNumId w:val="0"/>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M4ZWI5NTYyZjMyMzgwNWFkM2I4MGE5ODdmMmQ1NzYifQ=="/>
  </w:docVars>
  <w:rsids>
    <w:rsidRoot w:val="569F313A"/>
    <w:rsid w:val="09013DD6"/>
    <w:rsid w:val="2CC35E7E"/>
    <w:rsid w:val="324A0834"/>
    <w:rsid w:val="3751494E"/>
    <w:rsid w:val="4723522B"/>
    <w:rsid w:val="49B54F13"/>
    <w:rsid w:val="4B3C2657"/>
    <w:rsid w:val="569F313A"/>
    <w:rsid w:val="64151F48"/>
    <w:rsid w:val="6D7B7E8B"/>
    <w:rsid w:val="72FB6D1B"/>
    <w:rsid w:val="78F243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2023-10-26T02:30:00Z</dcterms:created>
  <dc:creator>李伟深</dc:creator>
  <cp:lastModifiedBy>李伟深</cp:lastModifiedBy>
  <dcterms:modified xsi:type="dcterms:W3CDTF">2023-10-26T09:04:26Z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8ADEFEC7FD8341D59024A87CCFDD8F75_13</vt:lpwstr>
  </property>
</Properties>
</file>